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484C" w14:textId="77777777" w:rsidR="008606B3" w:rsidRPr="006F3A4B" w:rsidRDefault="008606B3">
      <w:pPr>
        <w:rPr>
          <w:i/>
          <w:iCs/>
          <w:sz w:val="22"/>
          <w:szCs w:val="22"/>
        </w:rPr>
      </w:pPr>
    </w:p>
    <w:p w14:paraId="2E5940C6" w14:textId="265FCBC8" w:rsidR="00B1230F" w:rsidRPr="006F3A4B" w:rsidRDefault="005F4209" w:rsidP="00B1230F">
      <w:pPr>
        <w:spacing w:line="240" w:lineRule="atLeast"/>
        <w:rPr>
          <w:b/>
          <w:sz w:val="28"/>
          <w:szCs w:val="28"/>
        </w:rPr>
      </w:pPr>
      <w:r>
        <w:rPr>
          <w:b/>
          <w:sz w:val="28"/>
          <w:szCs w:val="28"/>
        </w:rPr>
        <w:t>The Meadow on Seneca</w:t>
      </w:r>
      <w:r w:rsidR="00901BEA" w:rsidRPr="006F3A4B">
        <w:rPr>
          <w:b/>
          <w:sz w:val="28"/>
          <w:szCs w:val="28"/>
        </w:rPr>
        <w:t xml:space="preserve"> (</w:t>
      </w:r>
      <w:r>
        <w:rPr>
          <w:b/>
          <w:sz w:val="28"/>
          <w:szCs w:val="28"/>
        </w:rPr>
        <w:t>Rehabilitation Support Services, Inc.</w:t>
      </w:r>
      <w:r w:rsidR="00901BEA" w:rsidRPr="006F3A4B">
        <w:rPr>
          <w:b/>
          <w:sz w:val="28"/>
          <w:szCs w:val="28"/>
        </w:rPr>
        <w:t>)</w:t>
      </w:r>
      <w:r w:rsidR="00B1230F" w:rsidRPr="006F3A4B">
        <w:rPr>
          <w:b/>
          <w:sz w:val="28"/>
          <w:szCs w:val="28"/>
        </w:rPr>
        <w:t>– Community Benefits Overview</w:t>
      </w:r>
    </w:p>
    <w:p w14:paraId="3116AC85" w14:textId="6D3F6952" w:rsidR="00B1230F" w:rsidRPr="00302B84" w:rsidRDefault="005F4209" w:rsidP="00B1230F">
      <w:pPr>
        <w:spacing w:line="240" w:lineRule="atLeast"/>
        <w:rPr>
          <w:b/>
          <w:i/>
          <w:color w:val="FF0000"/>
        </w:rPr>
      </w:pPr>
      <w:r>
        <w:rPr>
          <w:b/>
          <w:i/>
        </w:rPr>
        <w:t>5/8/24</w:t>
      </w:r>
    </w:p>
    <w:p w14:paraId="4DE533D2" w14:textId="77777777" w:rsidR="00B1230F" w:rsidRPr="006F3A4B" w:rsidRDefault="00B1230F" w:rsidP="00B1230F"/>
    <w:p w14:paraId="6D01E065" w14:textId="77777777" w:rsidR="00B1230F" w:rsidRPr="006F3A4B" w:rsidRDefault="00B1230F" w:rsidP="00B1230F">
      <w:pPr>
        <w:rPr>
          <w:rFonts w:eastAsia="Arial Unicode MS"/>
          <w:b/>
          <w:color w:val="000000"/>
          <w:sz w:val="22"/>
          <w:szCs w:val="22"/>
          <w:u w:val="single"/>
          <w:bdr w:val="nil"/>
        </w:rPr>
      </w:pPr>
      <w:r w:rsidRPr="006F3A4B">
        <w:rPr>
          <w:rFonts w:eastAsia="Arial Unicode MS"/>
          <w:b/>
          <w:color w:val="000000"/>
          <w:sz w:val="22"/>
          <w:szCs w:val="22"/>
          <w:u w:val="single"/>
          <w:bdr w:val="nil"/>
        </w:rPr>
        <w:t>Project Overview</w:t>
      </w:r>
    </w:p>
    <w:p w14:paraId="7C0A6C1D" w14:textId="04ADA4D7" w:rsidR="00B1230F" w:rsidRPr="006F3A4B" w:rsidRDefault="00B1230F" w:rsidP="00B1230F">
      <w:pPr>
        <w:rPr>
          <w:sz w:val="22"/>
          <w:szCs w:val="22"/>
        </w:rPr>
      </w:pPr>
    </w:p>
    <w:p w14:paraId="086D86FB" w14:textId="400AAFB2" w:rsidR="004214F5" w:rsidRPr="004214F5" w:rsidRDefault="004214F5" w:rsidP="004214F5">
      <w:pPr>
        <w:rPr>
          <w:sz w:val="22"/>
          <w:szCs w:val="22"/>
        </w:rPr>
      </w:pPr>
      <w:r w:rsidRPr="004214F5">
        <w:rPr>
          <w:sz w:val="22"/>
          <w:szCs w:val="22"/>
        </w:rPr>
        <w:t>Rehabilitation Support Services, Inc. (</w:t>
      </w:r>
      <w:r>
        <w:rPr>
          <w:sz w:val="22"/>
          <w:szCs w:val="22"/>
        </w:rPr>
        <w:t>RSS</w:t>
      </w:r>
      <w:r w:rsidRPr="004214F5">
        <w:rPr>
          <w:sz w:val="22"/>
          <w:szCs w:val="22"/>
        </w:rPr>
        <w:t>) is proposing the development of a new</w:t>
      </w:r>
    </w:p>
    <w:p w14:paraId="62BFF368" w14:textId="04342A3F" w:rsidR="00FF072D" w:rsidRPr="004214F5" w:rsidRDefault="004214F5" w:rsidP="00FF072D">
      <w:pPr>
        <w:rPr>
          <w:sz w:val="22"/>
          <w:szCs w:val="22"/>
        </w:rPr>
      </w:pPr>
      <w:r w:rsidRPr="004214F5">
        <w:rPr>
          <w:sz w:val="22"/>
          <w:szCs w:val="22"/>
        </w:rPr>
        <w:t xml:space="preserve">mixed-income, integrated supportive housing, community </w:t>
      </w:r>
      <w:r>
        <w:rPr>
          <w:sz w:val="22"/>
          <w:szCs w:val="22"/>
        </w:rPr>
        <w:t>located on vacant land bordered by N Meadow and W. Seneca Streets in the city of Ithaca</w:t>
      </w:r>
      <w:r w:rsidRPr="004214F5">
        <w:rPr>
          <w:sz w:val="22"/>
          <w:szCs w:val="22"/>
        </w:rPr>
        <w:t>. The</w:t>
      </w:r>
      <w:r>
        <w:rPr>
          <w:sz w:val="22"/>
          <w:szCs w:val="22"/>
        </w:rPr>
        <w:t xml:space="preserve"> </w:t>
      </w:r>
      <w:r w:rsidRPr="004214F5">
        <w:rPr>
          <w:sz w:val="22"/>
          <w:szCs w:val="22"/>
        </w:rPr>
        <w:t>proposed development will consist of 70 high-quality newly constructed affordable apartments for</w:t>
      </w:r>
      <w:r>
        <w:rPr>
          <w:sz w:val="22"/>
          <w:szCs w:val="22"/>
        </w:rPr>
        <w:t xml:space="preserve"> </w:t>
      </w:r>
      <w:r w:rsidRPr="004214F5">
        <w:rPr>
          <w:sz w:val="22"/>
          <w:szCs w:val="22"/>
        </w:rPr>
        <w:t>individuals and families with various supportive housing needs</w:t>
      </w:r>
      <w:r w:rsidR="00FF072D">
        <w:rPr>
          <w:sz w:val="22"/>
          <w:szCs w:val="22"/>
        </w:rPr>
        <w:t xml:space="preserve">. </w:t>
      </w:r>
      <w:r w:rsidR="00FF072D" w:rsidRPr="00FF072D">
        <w:rPr>
          <w:sz w:val="22"/>
          <w:szCs w:val="22"/>
        </w:rPr>
        <w:t xml:space="preserve">The Development will include 7 fully handicapped accessible units plus three units to serve individuals with a hearing or visual impairments. </w:t>
      </w:r>
    </w:p>
    <w:p w14:paraId="3714A8F5" w14:textId="77777777" w:rsidR="004214F5" w:rsidRDefault="004214F5" w:rsidP="004214F5">
      <w:pPr>
        <w:rPr>
          <w:sz w:val="22"/>
          <w:szCs w:val="22"/>
        </w:rPr>
      </w:pPr>
    </w:p>
    <w:p w14:paraId="163925BF" w14:textId="77777777" w:rsidR="004214F5" w:rsidRPr="004214F5" w:rsidRDefault="004214F5" w:rsidP="004214F5">
      <w:pPr>
        <w:rPr>
          <w:sz w:val="22"/>
          <w:szCs w:val="22"/>
        </w:rPr>
      </w:pPr>
      <w:r w:rsidRPr="004214F5">
        <w:rPr>
          <w:sz w:val="22"/>
          <w:szCs w:val="22"/>
        </w:rPr>
        <w:t>The Development will target a mixed population of affordable housing with half of the units set aside for</w:t>
      </w:r>
    </w:p>
    <w:p w14:paraId="27B0BF32" w14:textId="731FA3B0" w:rsidR="000670B5" w:rsidRDefault="004214F5" w:rsidP="004214F5">
      <w:pPr>
        <w:rPr>
          <w:sz w:val="22"/>
          <w:szCs w:val="22"/>
        </w:rPr>
      </w:pPr>
      <w:r w:rsidRPr="004214F5">
        <w:rPr>
          <w:sz w:val="22"/>
          <w:szCs w:val="22"/>
        </w:rPr>
        <w:t>persons with serious mental illness</w:t>
      </w:r>
      <w:r>
        <w:rPr>
          <w:sz w:val="22"/>
          <w:szCs w:val="22"/>
        </w:rPr>
        <w:t xml:space="preserve">, </w:t>
      </w:r>
      <w:r w:rsidRPr="004214F5">
        <w:rPr>
          <w:sz w:val="22"/>
          <w:szCs w:val="22"/>
        </w:rPr>
        <w:t>survivors of domestic violence, and households</w:t>
      </w:r>
      <w:r>
        <w:rPr>
          <w:sz w:val="22"/>
          <w:szCs w:val="22"/>
        </w:rPr>
        <w:t xml:space="preserve"> </w:t>
      </w:r>
      <w:r w:rsidRPr="004214F5">
        <w:rPr>
          <w:sz w:val="22"/>
          <w:szCs w:val="22"/>
        </w:rPr>
        <w:t>experiencing chronic homelessness. The income of tenants will include less than 50%, 60%, and 80% of</w:t>
      </w:r>
      <w:r>
        <w:rPr>
          <w:sz w:val="22"/>
          <w:szCs w:val="22"/>
        </w:rPr>
        <w:t xml:space="preserve"> </w:t>
      </w:r>
      <w:r w:rsidRPr="004214F5">
        <w:rPr>
          <w:sz w:val="22"/>
          <w:szCs w:val="22"/>
        </w:rPr>
        <w:t>Area Median Income</w:t>
      </w:r>
      <w:r>
        <w:rPr>
          <w:sz w:val="22"/>
          <w:szCs w:val="22"/>
        </w:rPr>
        <w:t xml:space="preserve">. </w:t>
      </w:r>
    </w:p>
    <w:p w14:paraId="2DA5A80D" w14:textId="77777777" w:rsidR="004214F5" w:rsidRDefault="004214F5" w:rsidP="004214F5">
      <w:pPr>
        <w:rPr>
          <w:sz w:val="22"/>
          <w:szCs w:val="22"/>
        </w:rPr>
      </w:pPr>
    </w:p>
    <w:p w14:paraId="1D7ECE83" w14:textId="4E01DEA0" w:rsidR="004214F5" w:rsidRDefault="004214F5" w:rsidP="004214F5">
      <w:pPr>
        <w:rPr>
          <w:sz w:val="22"/>
          <w:szCs w:val="22"/>
        </w:rPr>
      </w:pPr>
      <w:r>
        <w:rPr>
          <w:sz w:val="22"/>
          <w:szCs w:val="22"/>
        </w:rPr>
        <w:t xml:space="preserve">The proposed development will include a four-story </w:t>
      </w:r>
      <w:r w:rsidR="004610A1">
        <w:rPr>
          <w:sz w:val="22"/>
          <w:szCs w:val="22"/>
        </w:rPr>
        <w:t xml:space="preserve">building </w:t>
      </w:r>
      <w:r>
        <w:rPr>
          <w:sz w:val="22"/>
          <w:szCs w:val="22"/>
        </w:rPr>
        <w:t xml:space="preserve">featuring 11 studios, 43 one-bedroom units and 16 two-bedroom units. The first floor of the building will include covered parking, bicycle storage, resident services offices, leasing offices, maintenance, community space, and a care coordination office for the neighborhood. </w:t>
      </w:r>
      <w:r w:rsidR="00FF072D">
        <w:rPr>
          <w:sz w:val="22"/>
          <w:szCs w:val="22"/>
        </w:rPr>
        <w:t>Amenities</w:t>
      </w:r>
      <w:r>
        <w:rPr>
          <w:sz w:val="22"/>
          <w:szCs w:val="22"/>
        </w:rPr>
        <w:t xml:space="preserve"> include a fitness room, roo</w:t>
      </w:r>
      <w:r w:rsidR="00497FC1">
        <w:rPr>
          <w:sz w:val="22"/>
          <w:szCs w:val="22"/>
        </w:rPr>
        <w:t>f</w:t>
      </w:r>
      <w:r>
        <w:rPr>
          <w:sz w:val="22"/>
          <w:szCs w:val="22"/>
        </w:rPr>
        <w:t xml:space="preserve">-top terrace, on-site laundry, and </w:t>
      </w:r>
      <w:r w:rsidR="00FF072D">
        <w:rPr>
          <w:sz w:val="22"/>
          <w:szCs w:val="22"/>
        </w:rPr>
        <w:t xml:space="preserve">a secure package drop off location. </w:t>
      </w:r>
    </w:p>
    <w:p w14:paraId="58F07A22" w14:textId="77777777" w:rsidR="004214F5" w:rsidRDefault="004214F5" w:rsidP="004214F5">
      <w:pPr>
        <w:rPr>
          <w:sz w:val="22"/>
          <w:szCs w:val="22"/>
        </w:rPr>
      </w:pPr>
    </w:p>
    <w:p w14:paraId="677439C4" w14:textId="50BD44CD" w:rsidR="00FF072D" w:rsidRPr="004214F5" w:rsidRDefault="00FF072D" w:rsidP="00FF072D">
      <w:pPr>
        <w:rPr>
          <w:sz w:val="22"/>
          <w:szCs w:val="22"/>
        </w:rPr>
      </w:pPr>
      <w:r w:rsidRPr="004214F5">
        <w:rPr>
          <w:sz w:val="22"/>
          <w:szCs w:val="22"/>
        </w:rPr>
        <w:t>This site</w:t>
      </w:r>
      <w:r>
        <w:rPr>
          <w:sz w:val="22"/>
          <w:szCs w:val="22"/>
        </w:rPr>
        <w:t xml:space="preserve"> </w:t>
      </w:r>
      <w:r w:rsidRPr="004214F5">
        <w:rPr>
          <w:sz w:val="22"/>
          <w:szCs w:val="22"/>
        </w:rPr>
        <w:t>was selected because of the strong need for affordable and supportive housing in the area, its desirable</w:t>
      </w:r>
      <w:r>
        <w:rPr>
          <w:sz w:val="22"/>
          <w:szCs w:val="22"/>
        </w:rPr>
        <w:t xml:space="preserve"> </w:t>
      </w:r>
      <w:r w:rsidRPr="004214F5">
        <w:rPr>
          <w:sz w:val="22"/>
          <w:szCs w:val="22"/>
        </w:rPr>
        <w:t>location as it relates to services and opportunities for future residents, and the characteristics of the site.</w:t>
      </w:r>
    </w:p>
    <w:p w14:paraId="322C2C4D" w14:textId="77777777" w:rsidR="00FF072D" w:rsidRDefault="00FF072D" w:rsidP="004214F5">
      <w:pPr>
        <w:rPr>
          <w:sz w:val="22"/>
          <w:szCs w:val="22"/>
        </w:rPr>
      </w:pPr>
    </w:p>
    <w:p w14:paraId="1A789302" w14:textId="5E57D7AC" w:rsidR="000670B5" w:rsidRDefault="000670B5" w:rsidP="00B1230F">
      <w:pPr>
        <w:rPr>
          <w:sz w:val="22"/>
          <w:szCs w:val="22"/>
        </w:rPr>
      </w:pPr>
      <w:r w:rsidRPr="006F3A4B">
        <w:rPr>
          <w:sz w:val="22"/>
          <w:szCs w:val="22"/>
        </w:rPr>
        <w:t>The applicant is requesting the incentive outlined in the TCIDA Uniform Tax Exemption Policy for an affordable housing project.</w:t>
      </w:r>
      <w:r w:rsidR="006F3A4B" w:rsidRPr="006F3A4B">
        <w:rPr>
          <w:sz w:val="22"/>
          <w:szCs w:val="22"/>
        </w:rPr>
        <w:t xml:space="preserve"> </w:t>
      </w:r>
      <w:r w:rsidR="00497FC1">
        <w:rPr>
          <w:sz w:val="22"/>
          <w:szCs w:val="22"/>
        </w:rPr>
        <w:t xml:space="preserve">The project, an affordable housing project, is exempt from the Local Labor Policy. </w:t>
      </w:r>
      <w:r w:rsidR="006F3A4B" w:rsidRPr="006F3A4B">
        <w:rPr>
          <w:sz w:val="22"/>
          <w:szCs w:val="22"/>
        </w:rPr>
        <w:t xml:space="preserve">The term of the incentive </w:t>
      </w:r>
      <w:r w:rsidR="00C25FBA">
        <w:rPr>
          <w:sz w:val="22"/>
          <w:szCs w:val="22"/>
        </w:rPr>
        <w:t xml:space="preserve">is for 30 years which is </w:t>
      </w:r>
      <w:r w:rsidR="006F3A4B" w:rsidRPr="006F3A4B">
        <w:rPr>
          <w:sz w:val="22"/>
          <w:szCs w:val="22"/>
        </w:rPr>
        <w:t>coterminous with the regulatory period for the affordable housing.</w:t>
      </w:r>
      <w:r w:rsidR="008C4DB3">
        <w:rPr>
          <w:sz w:val="22"/>
          <w:szCs w:val="22"/>
        </w:rPr>
        <w:t xml:space="preserve"> A drafted PILOT schedule is included in the application packet.</w:t>
      </w:r>
      <w:r w:rsidR="00FF072D">
        <w:rPr>
          <w:sz w:val="22"/>
          <w:szCs w:val="22"/>
        </w:rPr>
        <w:t xml:space="preserve"> The applicant did not request a sales tax or mortgage recording tax incentive. </w:t>
      </w:r>
    </w:p>
    <w:p w14:paraId="001E3F83" w14:textId="77777777" w:rsidR="00302B84" w:rsidRDefault="00302B84" w:rsidP="00B1230F">
      <w:pPr>
        <w:rPr>
          <w:sz w:val="22"/>
          <w:szCs w:val="22"/>
        </w:rPr>
      </w:pPr>
    </w:p>
    <w:p w14:paraId="2AF884DC" w14:textId="77777777" w:rsidR="00B1230F" w:rsidRPr="006F3A4B" w:rsidRDefault="00B1230F" w:rsidP="00B1230F">
      <w:pPr>
        <w:rPr>
          <w:rFonts w:eastAsia="Arial Unicode MS"/>
          <w:b/>
          <w:color w:val="000000"/>
          <w:sz w:val="22"/>
          <w:szCs w:val="22"/>
          <w:u w:val="single"/>
          <w:bdr w:val="nil"/>
        </w:rPr>
      </w:pPr>
      <w:r w:rsidRPr="006F3A4B">
        <w:rPr>
          <w:rFonts w:eastAsia="Arial Unicode MS"/>
          <w:b/>
          <w:color w:val="000000"/>
          <w:sz w:val="22"/>
          <w:szCs w:val="22"/>
          <w:u w:val="single"/>
          <w:bdr w:val="nil"/>
        </w:rPr>
        <w:t>Cost-Benefit Analysis</w:t>
      </w:r>
    </w:p>
    <w:p w14:paraId="1B0DBE32" w14:textId="77777777" w:rsidR="00B1230F" w:rsidRPr="006F3A4B" w:rsidRDefault="00B1230F" w:rsidP="00B1230F">
      <w:pPr>
        <w:rPr>
          <w:sz w:val="22"/>
          <w:szCs w:val="22"/>
        </w:rPr>
      </w:pPr>
    </w:p>
    <w:p w14:paraId="79464892" w14:textId="0E86B39B" w:rsidR="00B1230F" w:rsidRPr="006F3A4B" w:rsidRDefault="00B1230F" w:rsidP="00B1230F">
      <w:pPr>
        <w:pStyle w:val="ListParagraph"/>
        <w:widowControl w:val="0"/>
        <w:numPr>
          <w:ilvl w:val="0"/>
          <w:numId w:val="1"/>
        </w:numPr>
        <w:tabs>
          <w:tab w:val="left" w:pos="940"/>
          <w:tab w:val="left" w:pos="1440"/>
        </w:tabs>
        <w:autoSpaceDE w:val="0"/>
        <w:autoSpaceDN w:val="0"/>
        <w:adjustRightInd w:val="0"/>
        <w:rPr>
          <w:rFonts w:ascii="Cambria" w:hAnsi="Cambria"/>
          <w:color w:val="1A1A1A"/>
          <w:sz w:val="22"/>
          <w:szCs w:val="22"/>
        </w:rPr>
      </w:pPr>
      <w:r w:rsidRPr="006F3A4B">
        <w:rPr>
          <w:rFonts w:ascii="Cambria" w:hAnsi="Cambria"/>
          <w:color w:val="1A1A1A"/>
          <w:sz w:val="22"/>
          <w:szCs w:val="22"/>
        </w:rPr>
        <w:t xml:space="preserve">Extent to which project would create and/or retain private sector jobs – </w:t>
      </w:r>
      <w:r w:rsidR="00901BEA" w:rsidRPr="006F3A4B">
        <w:rPr>
          <w:rFonts w:ascii="Cambria" w:hAnsi="Cambria"/>
          <w:color w:val="1A1A1A"/>
          <w:sz w:val="22"/>
          <w:szCs w:val="22"/>
        </w:rPr>
        <w:t xml:space="preserve">This is </w:t>
      </w:r>
      <w:r w:rsidR="000670B5" w:rsidRPr="006F3A4B">
        <w:rPr>
          <w:rFonts w:ascii="Cambria" w:hAnsi="Cambria"/>
          <w:color w:val="1A1A1A"/>
          <w:sz w:val="22"/>
          <w:szCs w:val="22"/>
        </w:rPr>
        <w:t>an affordable housing</w:t>
      </w:r>
      <w:r w:rsidR="00901BEA" w:rsidRPr="006F3A4B">
        <w:rPr>
          <w:rFonts w:ascii="Cambria" w:hAnsi="Cambria"/>
          <w:color w:val="1A1A1A"/>
          <w:sz w:val="22"/>
          <w:szCs w:val="22"/>
        </w:rPr>
        <w:t xml:space="preserve"> project and as such, there would be no direct job creation. </w:t>
      </w:r>
      <w:r w:rsidR="006F3A4B" w:rsidRPr="006F3A4B">
        <w:rPr>
          <w:rFonts w:ascii="Cambria" w:hAnsi="Cambria"/>
          <w:color w:val="1A1A1A"/>
          <w:sz w:val="22"/>
          <w:szCs w:val="22"/>
        </w:rPr>
        <w:t xml:space="preserve">The management company and a supportive services agency will provide some indirect jobs on site. </w:t>
      </w:r>
      <w:r w:rsidR="007B5AE7" w:rsidRPr="006F3A4B">
        <w:rPr>
          <w:rFonts w:ascii="Cambria" w:hAnsi="Cambria"/>
          <w:color w:val="1A1A1A"/>
          <w:sz w:val="22"/>
          <w:szCs w:val="22"/>
        </w:rPr>
        <w:t xml:space="preserve">An estimated </w:t>
      </w:r>
      <w:r w:rsidR="00FF072D">
        <w:rPr>
          <w:rFonts w:ascii="Cambria" w:hAnsi="Cambria"/>
          <w:color w:val="1A1A1A"/>
          <w:sz w:val="22"/>
          <w:szCs w:val="22"/>
        </w:rPr>
        <w:t>125</w:t>
      </w:r>
      <w:r w:rsidR="007B5AE7" w:rsidRPr="006F3A4B">
        <w:rPr>
          <w:rFonts w:ascii="Cambria" w:hAnsi="Cambria"/>
          <w:color w:val="1A1A1A"/>
          <w:sz w:val="22"/>
          <w:szCs w:val="22"/>
        </w:rPr>
        <w:t xml:space="preserve"> temporary construction jobs would be created.</w:t>
      </w:r>
    </w:p>
    <w:p w14:paraId="185B0306" w14:textId="77777777" w:rsidR="00B1230F" w:rsidRPr="006F3A4B" w:rsidRDefault="00B1230F" w:rsidP="00B1230F">
      <w:pPr>
        <w:pStyle w:val="ListParagraph"/>
        <w:widowControl w:val="0"/>
        <w:tabs>
          <w:tab w:val="left" w:pos="940"/>
          <w:tab w:val="left" w:pos="1440"/>
        </w:tabs>
        <w:autoSpaceDE w:val="0"/>
        <w:autoSpaceDN w:val="0"/>
        <w:adjustRightInd w:val="0"/>
        <w:spacing w:line="120" w:lineRule="exact"/>
        <w:ind w:left="360"/>
        <w:rPr>
          <w:rFonts w:ascii="Cambria" w:hAnsi="Cambria"/>
          <w:color w:val="1A1A1A"/>
          <w:sz w:val="22"/>
          <w:szCs w:val="22"/>
        </w:rPr>
      </w:pPr>
    </w:p>
    <w:p w14:paraId="22EA5688" w14:textId="77777777" w:rsidR="004610A1" w:rsidRDefault="00B1230F" w:rsidP="004610A1">
      <w:pPr>
        <w:pStyle w:val="ListParagraph"/>
        <w:widowControl w:val="0"/>
        <w:numPr>
          <w:ilvl w:val="0"/>
          <w:numId w:val="1"/>
        </w:numPr>
        <w:tabs>
          <w:tab w:val="left" w:pos="940"/>
          <w:tab w:val="left" w:pos="1440"/>
        </w:tabs>
        <w:autoSpaceDE w:val="0"/>
        <w:autoSpaceDN w:val="0"/>
        <w:adjustRightInd w:val="0"/>
        <w:rPr>
          <w:rFonts w:ascii="Cambria" w:hAnsi="Cambria"/>
          <w:color w:val="1A1A1A"/>
          <w:sz w:val="22"/>
          <w:szCs w:val="22"/>
        </w:rPr>
      </w:pPr>
      <w:r w:rsidRPr="006F3A4B">
        <w:rPr>
          <w:rFonts w:ascii="Cambria" w:hAnsi="Cambria"/>
          <w:color w:val="1A1A1A"/>
          <w:sz w:val="22"/>
          <w:szCs w:val="22"/>
        </w:rPr>
        <w:t xml:space="preserve">Estimated value of tax exemption – </w:t>
      </w:r>
      <w:r w:rsidR="00FF072D">
        <w:rPr>
          <w:rFonts w:ascii="Cambria" w:hAnsi="Cambria"/>
          <w:color w:val="1A1A1A"/>
          <w:sz w:val="22"/>
          <w:szCs w:val="22"/>
        </w:rPr>
        <w:t>3.5</w:t>
      </w:r>
      <w:r w:rsidRPr="006F3A4B">
        <w:rPr>
          <w:rFonts w:ascii="Cambria" w:hAnsi="Cambria"/>
          <w:color w:val="1A1A1A"/>
          <w:sz w:val="22"/>
          <w:szCs w:val="22"/>
        </w:rPr>
        <w:t>% of total project costs</w:t>
      </w:r>
    </w:p>
    <w:p w14:paraId="13066637" w14:textId="77777777" w:rsidR="004610A1" w:rsidRPr="004610A1" w:rsidRDefault="004610A1" w:rsidP="004610A1">
      <w:pPr>
        <w:pStyle w:val="ListParagraph"/>
        <w:rPr>
          <w:color w:val="1A1A1A"/>
          <w:sz w:val="22"/>
          <w:szCs w:val="22"/>
        </w:rPr>
      </w:pPr>
    </w:p>
    <w:p w14:paraId="16062563" w14:textId="4B6CAB09" w:rsidR="00FF072D" w:rsidRPr="004610A1" w:rsidRDefault="00FF072D" w:rsidP="004610A1">
      <w:pPr>
        <w:pStyle w:val="ListParagraph"/>
        <w:widowControl w:val="0"/>
        <w:numPr>
          <w:ilvl w:val="0"/>
          <w:numId w:val="1"/>
        </w:numPr>
        <w:tabs>
          <w:tab w:val="left" w:pos="940"/>
          <w:tab w:val="left" w:pos="1440"/>
        </w:tabs>
        <w:autoSpaceDE w:val="0"/>
        <w:autoSpaceDN w:val="0"/>
        <w:adjustRightInd w:val="0"/>
        <w:rPr>
          <w:rFonts w:ascii="Cambria" w:hAnsi="Cambria"/>
          <w:color w:val="1A1A1A"/>
          <w:sz w:val="22"/>
          <w:szCs w:val="22"/>
        </w:rPr>
      </w:pPr>
      <w:r w:rsidRPr="004610A1">
        <w:rPr>
          <w:color w:val="1A1A1A"/>
          <w:sz w:val="22"/>
          <w:szCs w:val="22"/>
        </w:rPr>
        <w:t>Projected Property Tax Savings – $1,220,959 over 30 years</w:t>
      </w:r>
    </w:p>
    <w:p w14:paraId="058F3FA2" w14:textId="77777777" w:rsidR="00B1230F" w:rsidRPr="006F3A4B" w:rsidRDefault="00B1230F" w:rsidP="00B1230F">
      <w:pPr>
        <w:widowControl w:val="0"/>
        <w:tabs>
          <w:tab w:val="left" w:pos="940"/>
          <w:tab w:val="left" w:pos="1440"/>
        </w:tabs>
        <w:autoSpaceDE w:val="0"/>
        <w:autoSpaceDN w:val="0"/>
        <w:adjustRightInd w:val="0"/>
        <w:spacing w:line="120" w:lineRule="exact"/>
        <w:ind w:left="360"/>
        <w:contextualSpacing/>
        <w:rPr>
          <w:color w:val="1A1A1A"/>
          <w:sz w:val="22"/>
          <w:szCs w:val="22"/>
        </w:rPr>
      </w:pPr>
    </w:p>
    <w:p w14:paraId="41F59BA4" w14:textId="77777777" w:rsidR="00B1230F" w:rsidRPr="006F3A4B" w:rsidRDefault="00B1230F" w:rsidP="00B1230F">
      <w:pPr>
        <w:widowControl w:val="0"/>
        <w:tabs>
          <w:tab w:val="left" w:pos="940"/>
          <w:tab w:val="left" w:pos="1440"/>
        </w:tabs>
        <w:autoSpaceDE w:val="0"/>
        <w:autoSpaceDN w:val="0"/>
        <w:adjustRightInd w:val="0"/>
        <w:rPr>
          <w:color w:val="1A1A1A"/>
          <w:sz w:val="22"/>
          <w:szCs w:val="22"/>
        </w:rPr>
      </w:pPr>
    </w:p>
    <w:p w14:paraId="0660AEEF" w14:textId="463A1D96" w:rsidR="00B1230F" w:rsidRPr="006F3A4B" w:rsidRDefault="00B1230F" w:rsidP="00B1230F">
      <w:pPr>
        <w:pStyle w:val="ListParagraph"/>
        <w:widowControl w:val="0"/>
        <w:numPr>
          <w:ilvl w:val="0"/>
          <w:numId w:val="1"/>
        </w:numPr>
        <w:tabs>
          <w:tab w:val="left" w:pos="940"/>
          <w:tab w:val="left" w:pos="1440"/>
        </w:tabs>
        <w:autoSpaceDE w:val="0"/>
        <w:autoSpaceDN w:val="0"/>
        <w:adjustRightInd w:val="0"/>
        <w:rPr>
          <w:rFonts w:ascii="Cambria" w:hAnsi="Cambria"/>
          <w:color w:val="1A1A1A"/>
          <w:sz w:val="22"/>
          <w:szCs w:val="22"/>
        </w:rPr>
      </w:pPr>
      <w:r w:rsidRPr="006F3A4B">
        <w:rPr>
          <w:rFonts w:ascii="Cambria" w:hAnsi="Cambria"/>
          <w:color w:val="1A1A1A"/>
          <w:sz w:val="22"/>
          <w:szCs w:val="22"/>
        </w:rPr>
        <w:t xml:space="preserve">Estimate of private sector investment to be generated by the project – </w:t>
      </w:r>
      <w:r w:rsidR="007B5AE7" w:rsidRPr="006F3A4B">
        <w:rPr>
          <w:rFonts w:ascii="Cambria" w:hAnsi="Cambria"/>
          <w:color w:val="1A1A1A"/>
          <w:sz w:val="22"/>
          <w:szCs w:val="22"/>
        </w:rPr>
        <w:t>$</w:t>
      </w:r>
      <w:r w:rsidR="00FF072D">
        <w:rPr>
          <w:rFonts w:ascii="Cambria" w:hAnsi="Cambria"/>
          <w:color w:val="1A1A1A"/>
          <w:sz w:val="22"/>
          <w:szCs w:val="22"/>
        </w:rPr>
        <w:t>34,575,043</w:t>
      </w:r>
    </w:p>
    <w:p w14:paraId="07CD1D32" w14:textId="77777777" w:rsidR="00B1230F" w:rsidRPr="006F3A4B" w:rsidRDefault="00B1230F" w:rsidP="00B1230F">
      <w:pPr>
        <w:widowControl w:val="0"/>
        <w:tabs>
          <w:tab w:val="left" w:pos="940"/>
          <w:tab w:val="left" w:pos="1440"/>
        </w:tabs>
        <w:autoSpaceDE w:val="0"/>
        <w:autoSpaceDN w:val="0"/>
        <w:adjustRightInd w:val="0"/>
        <w:rPr>
          <w:color w:val="1A1A1A"/>
          <w:sz w:val="22"/>
          <w:szCs w:val="22"/>
        </w:rPr>
      </w:pPr>
    </w:p>
    <w:p w14:paraId="62E5C0A2" w14:textId="018F4943" w:rsidR="00B1230F" w:rsidRPr="006F3A4B" w:rsidRDefault="00B1230F" w:rsidP="00B1230F">
      <w:pPr>
        <w:pStyle w:val="ListParagraph"/>
        <w:widowControl w:val="0"/>
        <w:numPr>
          <w:ilvl w:val="0"/>
          <w:numId w:val="1"/>
        </w:numPr>
        <w:tabs>
          <w:tab w:val="left" w:pos="940"/>
          <w:tab w:val="left" w:pos="1440"/>
        </w:tabs>
        <w:autoSpaceDE w:val="0"/>
        <w:autoSpaceDN w:val="0"/>
        <w:adjustRightInd w:val="0"/>
        <w:rPr>
          <w:rFonts w:ascii="Cambria" w:hAnsi="Cambria"/>
          <w:color w:val="1A1A1A"/>
          <w:sz w:val="22"/>
          <w:szCs w:val="22"/>
        </w:rPr>
      </w:pPr>
      <w:r w:rsidRPr="006F3A4B">
        <w:rPr>
          <w:rFonts w:ascii="Cambria" w:hAnsi="Cambria"/>
          <w:color w:val="1A1A1A"/>
          <w:sz w:val="22"/>
          <w:szCs w:val="22"/>
        </w:rPr>
        <w:t>Likelihood of completing project in a timely manner</w:t>
      </w:r>
      <w:r w:rsidR="007B5AE7" w:rsidRPr="006F3A4B">
        <w:rPr>
          <w:rFonts w:ascii="Cambria" w:hAnsi="Cambria"/>
          <w:color w:val="1A1A1A"/>
          <w:sz w:val="22"/>
          <w:szCs w:val="22"/>
        </w:rPr>
        <w:t xml:space="preserve"> – SEQR has been completed and final site plan secured. </w:t>
      </w:r>
      <w:r w:rsidR="00497FC1">
        <w:rPr>
          <w:rFonts w:ascii="Cambria" w:hAnsi="Cambria"/>
          <w:color w:val="1A1A1A"/>
          <w:sz w:val="22"/>
          <w:szCs w:val="22"/>
        </w:rPr>
        <w:t xml:space="preserve">An application for low-income housing tax credits will be submitted in the upcoming round </w:t>
      </w:r>
      <w:r w:rsidR="00497FC1">
        <w:rPr>
          <w:rFonts w:ascii="Cambria" w:hAnsi="Cambria"/>
          <w:color w:val="1A1A1A"/>
          <w:sz w:val="22"/>
          <w:szCs w:val="22"/>
        </w:rPr>
        <w:lastRenderedPageBreak/>
        <w:t>and pending approval, construction will begin in spring of 2024. The applicant has a good track record completing affordable housing projects.</w:t>
      </w:r>
    </w:p>
    <w:p w14:paraId="015C42E6" w14:textId="77777777" w:rsidR="00B1230F" w:rsidRPr="006F3A4B" w:rsidRDefault="00B1230F" w:rsidP="007B5AE7">
      <w:pPr>
        <w:widowControl w:val="0"/>
        <w:tabs>
          <w:tab w:val="left" w:pos="940"/>
          <w:tab w:val="left" w:pos="1440"/>
        </w:tabs>
        <w:autoSpaceDE w:val="0"/>
        <w:autoSpaceDN w:val="0"/>
        <w:adjustRightInd w:val="0"/>
        <w:rPr>
          <w:color w:val="1A1A1A"/>
          <w:sz w:val="22"/>
          <w:szCs w:val="22"/>
        </w:rPr>
      </w:pPr>
    </w:p>
    <w:p w14:paraId="4B7F1106" w14:textId="77777777" w:rsidR="00B1230F" w:rsidRPr="006F3A4B" w:rsidRDefault="00B1230F" w:rsidP="00B1230F">
      <w:pPr>
        <w:pStyle w:val="ListParagraph"/>
        <w:widowControl w:val="0"/>
        <w:numPr>
          <w:ilvl w:val="0"/>
          <w:numId w:val="1"/>
        </w:numPr>
        <w:tabs>
          <w:tab w:val="left" w:pos="940"/>
          <w:tab w:val="left" w:pos="1440"/>
        </w:tabs>
        <w:autoSpaceDE w:val="0"/>
        <w:autoSpaceDN w:val="0"/>
        <w:adjustRightInd w:val="0"/>
        <w:rPr>
          <w:rFonts w:ascii="Cambria" w:hAnsi="Cambria"/>
          <w:color w:val="1A1A1A"/>
          <w:sz w:val="22"/>
          <w:szCs w:val="22"/>
        </w:rPr>
      </w:pPr>
      <w:r w:rsidRPr="006F3A4B">
        <w:rPr>
          <w:rFonts w:ascii="Cambria" w:hAnsi="Cambria"/>
          <w:color w:val="1A1A1A"/>
          <w:sz w:val="22"/>
          <w:szCs w:val="22"/>
        </w:rPr>
        <w:t>Extent to which project would generate additional sources of revenue for local taxing jurisdictions</w:t>
      </w:r>
    </w:p>
    <w:p w14:paraId="408722D0" w14:textId="6F944AC4" w:rsidR="00B1230F" w:rsidRPr="006F3A4B" w:rsidRDefault="007B5AE7" w:rsidP="00942762">
      <w:pPr>
        <w:widowControl w:val="0"/>
        <w:tabs>
          <w:tab w:val="left" w:pos="940"/>
          <w:tab w:val="left" w:pos="1440"/>
        </w:tabs>
        <w:autoSpaceDE w:val="0"/>
        <w:autoSpaceDN w:val="0"/>
        <w:adjustRightInd w:val="0"/>
        <w:ind w:left="360"/>
        <w:rPr>
          <w:color w:val="1A1A1A"/>
          <w:sz w:val="22"/>
          <w:szCs w:val="22"/>
        </w:rPr>
      </w:pPr>
      <w:r w:rsidRPr="006F3A4B">
        <w:rPr>
          <w:color w:val="1A1A1A"/>
          <w:sz w:val="22"/>
          <w:szCs w:val="22"/>
        </w:rPr>
        <w:t>$</w:t>
      </w:r>
      <w:r w:rsidR="00497FC1">
        <w:rPr>
          <w:color w:val="1A1A1A"/>
          <w:sz w:val="22"/>
          <w:szCs w:val="22"/>
        </w:rPr>
        <w:t>2, 082,223 in</w:t>
      </w:r>
      <w:r w:rsidR="00931198" w:rsidRPr="006F3A4B">
        <w:rPr>
          <w:color w:val="1A1A1A"/>
          <w:sz w:val="22"/>
          <w:szCs w:val="22"/>
        </w:rPr>
        <w:t xml:space="preserve"> projected new property taxes </w:t>
      </w:r>
      <w:proofErr w:type="gramStart"/>
      <w:r w:rsidR="00931198" w:rsidRPr="006F3A4B">
        <w:rPr>
          <w:color w:val="1A1A1A"/>
          <w:sz w:val="22"/>
          <w:szCs w:val="22"/>
        </w:rPr>
        <w:t>as a result of</w:t>
      </w:r>
      <w:proofErr w:type="gramEnd"/>
      <w:r w:rsidR="00931198" w:rsidRPr="006F3A4B">
        <w:rPr>
          <w:color w:val="1A1A1A"/>
          <w:sz w:val="22"/>
          <w:szCs w:val="22"/>
        </w:rPr>
        <w:t xml:space="preserve"> the project</w:t>
      </w:r>
      <w:r w:rsidR="00497FC1">
        <w:rPr>
          <w:color w:val="1A1A1A"/>
          <w:sz w:val="22"/>
          <w:szCs w:val="22"/>
        </w:rPr>
        <w:t>.</w:t>
      </w:r>
    </w:p>
    <w:p w14:paraId="1B4F5AD5" w14:textId="77777777" w:rsidR="00B1230F" w:rsidRPr="006F3A4B" w:rsidRDefault="00B1230F" w:rsidP="00B1230F">
      <w:pPr>
        <w:widowControl w:val="0"/>
        <w:tabs>
          <w:tab w:val="left" w:pos="940"/>
          <w:tab w:val="left" w:pos="1440"/>
        </w:tabs>
        <w:autoSpaceDE w:val="0"/>
        <w:autoSpaceDN w:val="0"/>
        <w:adjustRightInd w:val="0"/>
        <w:rPr>
          <w:color w:val="1A1A1A"/>
          <w:sz w:val="22"/>
          <w:szCs w:val="22"/>
        </w:rPr>
      </w:pPr>
    </w:p>
    <w:p w14:paraId="4E5C6BFA" w14:textId="77777777" w:rsidR="00B1230F" w:rsidRPr="006F3A4B" w:rsidRDefault="00B1230F" w:rsidP="00B1230F">
      <w:pPr>
        <w:pStyle w:val="ListParagraph"/>
        <w:widowControl w:val="0"/>
        <w:numPr>
          <w:ilvl w:val="0"/>
          <w:numId w:val="1"/>
        </w:numPr>
        <w:tabs>
          <w:tab w:val="left" w:pos="940"/>
          <w:tab w:val="left" w:pos="1440"/>
        </w:tabs>
        <w:autoSpaceDE w:val="0"/>
        <w:autoSpaceDN w:val="0"/>
        <w:adjustRightInd w:val="0"/>
        <w:rPr>
          <w:rFonts w:ascii="Cambria" w:hAnsi="Cambria"/>
          <w:color w:val="1A1A1A"/>
          <w:sz w:val="22"/>
          <w:szCs w:val="22"/>
        </w:rPr>
      </w:pPr>
      <w:r w:rsidRPr="006F3A4B">
        <w:rPr>
          <w:rFonts w:ascii="Cambria" w:hAnsi="Cambria"/>
          <w:color w:val="1A1A1A"/>
          <w:sz w:val="22"/>
          <w:szCs w:val="22"/>
        </w:rPr>
        <w:t>Other benefits that might result from the project:</w:t>
      </w:r>
    </w:p>
    <w:p w14:paraId="4AA7446A" w14:textId="77777777" w:rsidR="00B1230F" w:rsidRPr="006F3A4B" w:rsidRDefault="00B1230F" w:rsidP="00B1230F">
      <w:pPr>
        <w:widowControl w:val="0"/>
        <w:autoSpaceDE w:val="0"/>
        <w:autoSpaceDN w:val="0"/>
        <w:adjustRightInd w:val="0"/>
        <w:spacing w:line="120" w:lineRule="exact"/>
        <w:ind w:left="360"/>
        <w:contextualSpacing/>
        <w:rPr>
          <w:rFonts w:cs="Trebuchet MS"/>
          <w:color w:val="1A1A1A"/>
          <w:sz w:val="22"/>
          <w:szCs w:val="22"/>
          <w:highlight w:val="yellow"/>
        </w:rPr>
      </w:pPr>
    </w:p>
    <w:p w14:paraId="3305E9CA" w14:textId="1457F62C" w:rsidR="006F3A4B" w:rsidRPr="00B73E89" w:rsidRDefault="006F3A4B" w:rsidP="006F3A4B">
      <w:pPr>
        <w:widowControl w:val="0"/>
        <w:tabs>
          <w:tab w:val="left" w:pos="940"/>
          <w:tab w:val="left" w:pos="1440"/>
        </w:tabs>
        <w:autoSpaceDE w:val="0"/>
        <w:autoSpaceDN w:val="0"/>
        <w:adjustRightInd w:val="0"/>
        <w:spacing w:after="120"/>
        <w:ind w:left="360"/>
        <w:rPr>
          <w:color w:val="1A1A1A"/>
          <w:sz w:val="22"/>
          <w:szCs w:val="22"/>
        </w:rPr>
      </w:pPr>
      <w:r w:rsidRPr="00B73E89">
        <w:rPr>
          <w:color w:val="1A1A1A"/>
          <w:sz w:val="22"/>
          <w:szCs w:val="22"/>
          <w:u w:val="single"/>
        </w:rPr>
        <w:t>Affordable Housing</w:t>
      </w:r>
      <w:r w:rsidRPr="00B73E89">
        <w:rPr>
          <w:color w:val="1A1A1A"/>
          <w:sz w:val="22"/>
          <w:szCs w:val="22"/>
        </w:rPr>
        <w:t xml:space="preserve"> – </w:t>
      </w:r>
      <w:r w:rsidR="00497FC1">
        <w:rPr>
          <w:color w:val="1A1A1A"/>
          <w:sz w:val="22"/>
          <w:szCs w:val="22"/>
        </w:rPr>
        <w:t>70</w:t>
      </w:r>
      <w:r w:rsidRPr="00B73E89">
        <w:rPr>
          <w:color w:val="1A1A1A"/>
          <w:sz w:val="22"/>
          <w:szCs w:val="22"/>
        </w:rPr>
        <w:t xml:space="preserve"> units of affordable housing units serving </w:t>
      </w:r>
      <w:r w:rsidR="00CE5729">
        <w:rPr>
          <w:color w:val="1A1A1A"/>
          <w:sz w:val="22"/>
          <w:szCs w:val="22"/>
        </w:rPr>
        <w:t>households</w:t>
      </w:r>
      <w:r w:rsidRPr="00B73E89">
        <w:rPr>
          <w:color w:val="1A1A1A"/>
          <w:sz w:val="22"/>
          <w:szCs w:val="22"/>
        </w:rPr>
        <w:t xml:space="preserve"> with incomes between </w:t>
      </w:r>
      <w:r>
        <w:rPr>
          <w:color w:val="1A1A1A"/>
          <w:sz w:val="22"/>
          <w:szCs w:val="22"/>
        </w:rPr>
        <w:t>3</w:t>
      </w:r>
      <w:r w:rsidRPr="00B73E89">
        <w:rPr>
          <w:color w:val="1A1A1A"/>
          <w:sz w:val="22"/>
          <w:szCs w:val="22"/>
        </w:rPr>
        <w:t>0%-</w:t>
      </w:r>
      <w:r w:rsidR="00497FC1">
        <w:rPr>
          <w:color w:val="1A1A1A"/>
          <w:sz w:val="22"/>
          <w:szCs w:val="22"/>
        </w:rPr>
        <w:t>8</w:t>
      </w:r>
      <w:r w:rsidRPr="00B73E89">
        <w:rPr>
          <w:color w:val="1A1A1A"/>
          <w:sz w:val="22"/>
          <w:szCs w:val="22"/>
        </w:rPr>
        <w:t>0% of Area Median Income</w:t>
      </w:r>
      <w:r w:rsidR="00497FC1">
        <w:rPr>
          <w:color w:val="1A1A1A"/>
          <w:sz w:val="22"/>
          <w:szCs w:val="22"/>
        </w:rPr>
        <w:t xml:space="preserve">. One half of the units will be set aside for persons with serious mental illness, survivors of domestic violence and households experiencing chronic homelessness.  </w:t>
      </w:r>
    </w:p>
    <w:p w14:paraId="64D80A7A" w14:textId="77777777" w:rsidR="000B7CD1" w:rsidRDefault="006F3A4B" w:rsidP="000B7CD1">
      <w:pPr>
        <w:widowControl w:val="0"/>
        <w:tabs>
          <w:tab w:val="left" w:pos="940"/>
          <w:tab w:val="left" w:pos="1440"/>
        </w:tabs>
        <w:autoSpaceDE w:val="0"/>
        <w:autoSpaceDN w:val="0"/>
        <w:adjustRightInd w:val="0"/>
        <w:spacing w:after="120"/>
        <w:ind w:left="360"/>
        <w:rPr>
          <w:sz w:val="22"/>
          <w:szCs w:val="22"/>
        </w:rPr>
      </w:pPr>
      <w:r w:rsidRPr="00B73E89">
        <w:rPr>
          <w:color w:val="1A1A1A"/>
          <w:sz w:val="22"/>
          <w:szCs w:val="22"/>
          <w:u w:val="single"/>
        </w:rPr>
        <w:t>Supportive Housing</w:t>
      </w:r>
      <w:r w:rsidRPr="00B73E89">
        <w:rPr>
          <w:color w:val="1A1A1A"/>
          <w:sz w:val="22"/>
          <w:szCs w:val="22"/>
        </w:rPr>
        <w:t xml:space="preserve"> –</w:t>
      </w:r>
      <w:r w:rsidR="00497FC1">
        <w:rPr>
          <w:color w:val="1A1A1A"/>
          <w:sz w:val="22"/>
          <w:szCs w:val="22"/>
        </w:rPr>
        <w:t xml:space="preserve"> </w:t>
      </w:r>
      <w:r w:rsidR="000B7CD1">
        <w:rPr>
          <w:color w:val="1A1A1A"/>
          <w:sz w:val="22"/>
          <w:szCs w:val="22"/>
        </w:rPr>
        <w:t>S</w:t>
      </w:r>
      <w:r w:rsidR="00497FC1">
        <w:rPr>
          <w:color w:val="1A1A1A"/>
          <w:sz w:val="22"/>
          <w:szCs w:val="22"/>
        </w:rPr>
        <w:t xml:space="preserve">upportive services will be provided on-site for </w:t>
      </w:r>
      <w:r w:rsidR="000B7CD1">
        <w:rPr>
          <w:color w:val="1A1A1A"/>
          <w:sz w:val="22"/>
          <w:szCs w:val="22"/>
        </w:rPr>
        <w:t>high-risk</w:t>
      </w:r>
      <w:r w:rsidR="00497FC1">
        <w:rPr>
          <w:color w:val="1A1A1A"/>
          <w:sz w:val="22"/>
          <w:szCs w:val="22"/>
        </w:rPr>
        <w:t xml:space="preserve"> populations</w:t>
      </w:r>
      <w:r w:rsidR="00CE5729">
        <w:rPr>
          <w:sz w:val="22"/>
          <w:szCs w:val="22"/>
        </w:rPr>
        <w:t>.</w:t>
      </w:r>
      <w:r w:rsidR="000B7CD1">
        <w:rPr>
          <w:sz w:val="22"/>
          <w:szCs w:val="22"/>
        </w:rPr>
        <w:t xml:space="preserve"> The location is also desirable as it relates to access to local services.</w:t>
      </w:r>
    </w:p>
    <w:p w14:paraId="6C56C410" w14:textId="21B2D668" w:rsidR="0079169B" w:rsidRPr="000B7CD1" w:rsidRDefault="006F3A4B" w:rsidP="000B7CD1">
      <w:pPr>
        <w:widowControl w:val="0"/>
        <w:tabs>
          <w:tab w:val="left" w:pos="940"/>
          <w:tab w:val="left" w:pos="1440"/>
        </w:tabs>
        <w:autoSpaceDE w:val="0"/>
        <w:autoSpaceDN w:val="0"/>
        <w:adjustRightInd w:val="0"/>
        <w:spacing w:after="120"/>
        <w:ind w:left="360"/>
        <w:rPr>
          <w:sz w:val="22"/>
          <w:szCs w:val="22"/>
        </w:rPr>
      </w:pPr>
      <w:r w:rsidRPr="00B73E89">
        <w:rPr>
          <w:color w:val="1A1A1A"/>
          <w:sz w:val="22"/>
          <w:szCs w:val="22"/>
          <w:u w:val="single"/>
        </w:rPr>
        <w:t>Energy Efficiency</w:t>
      </w:r>
      <w:r w:rsidRPr="00B73E89">
        <w:rPr>
          <w:color w:val="1A1A1A"/>
          <w:sz w:val="22"/>
          <w:szCs w:val="22"/>
        </w:rPr>
        <w:t xml:space="preserve"> – </w:t>
      </w:r>
      <w:r w:rsidR="0079169B" w:rsidRPr="0079169B">
        <w:rPr>
          <w:color w:val="1A1A1A"/>
          <w:sz w:val="22"/>
          <w:szCs w:val="22"/>
        </w:rPr>
        <w:t xml:space="preserve">The Development will advance New York State’s Climate Leadership and Community Protection Act by meeting stretch goals of the most current HCR Sustainability Guidelines for New Construction. By matter of achieving LEED </w:t>
      </w:r>
      <w:proofErr w:type="spellStart"/>
      <w:r w:rsidR="0079169B" w:rsidRPr="0079169B">
        <w:rPr>
          <w:color w:val="1A1A1A"/>
          <w:sz w:val="22"/>
          <w:szCs w:val="22"/>
        </w:rPr>
        <w:t>Gold+Zero</w:t>
      </w:r>
      <w:proofErr w:type="spellEnd"/>
      <w:r w:rsidR="0079169B" w:rsidRPr="0079169B">
        <w:rPr>
          <w:color w:val="1A1A1A"/>
          <w:sz w:val="22"/>
          <w:szCs w:val="22"/>
        </w:rPr>
        <w:t xml:space="preserve"> Certification or equivalent as outlined in the Sustainability Guidelines for stretch goals, the development will far exceed current energy code and utilize all-electric systems to eliminate all fossil fuels associated with heating, cooling, and common living needs. As such, the Development will qualify for Clean Energy Initiative funding. In doing so, the building design will include state-of-the-art heat pump technology for heating and cooling, a high efficiency ERV system for clean air circulation, Energy Star ® appliances and light fixtures, water conserving fixtures, and no volatile organic compound paints and green label floor coverings. The envelope will maximize insulation, air tightness and minimize heat/energy loss and thermal bridging. The development will include renewable energy technology to reduce common area utility expenses. Building energy monitoring and tracking including benchmarking, and smart building monitoring and controls will be installed. The totality of the green building design will without a doubt advance the Climate Act all while offering robust comfort and livability for the residents to reside at the community to be built.</w:t>
      </w:r>
    </w:p>
    <w:p w14:paraId="1F55809D" w14:textId="3387868D" w:rsidR="006F3A4B" w:rsidRPr="00B73E89" w:rsidRDefault="006F3A4B" w:rsidP="006F3A4B">
      <w:pPr>
        <w:widowControl w:val="0"/>
        <w:tabs>
          <w:tab w:val="left" w:pos="940"/>
          <w:tab w:val="left" w:pos="1440"/>
        </w:tabs>
        <w:autoSpaceDE w:val="0"/>
        <w:autoSpaceDN w:val="0"/>
        <w:adjustRightInd w:val="0"/>
        <w:spacing w:after="120"/>
        <w:ind w:left="360"/>
        <w:rPr>
          <w:color w:val="1A1A1A"/>
          <w:sz w:val="22"/>
          <w:szCs w:val="22"/>
        </w:rPr>
      </w:pPr>
      <w:r w:rsidRPr="00B73E89">
        <w:rPr>
          <w:color w:val="1A1A1A"/>
          <w:sz w:val="22"/>
          <w:szCs w:val="22"/>
          <w:u w:val="single"/>
        </w:rPr>
        <w:t>Neighborhood Revitalization</w:t>
      </w:r>
      <w:r w:rsidRPr="00B73E89">
        <w:rPr>
          <w:color w:val="1A1A1A"/>
          <w:sz w:val="22"/>
          <w:szCs w:val="22"/>
        </w:rPr>
        <w:t xml:space="preserve"> –</w:t>
      </w:r>
      <w:r w:rsidR="0079169B">
        <w:rPr>
          <w:color w:val="1A1A1A"/>
          <w:sz w:val="22"/>
          <w:szCs w:val="22"/>
        </w:rPr>
        <w:t xml:space="preserve"> The project is located on the west end</w:t>
      </w:r>
      <w:r w:rsidR="000B7CD1">
        <w:rPr>
          <w:color w:val="1A1A1A"/>
          <w:sz w:val="22"/>
          <w:szCs w:val="22"/>
        </w:rPr>
        <w:t xml:space="preserve"> waterfront district and, as such, is part of the City of Ithaca’s Waterfront Plan. The project fits within the goals of the plan that include a mix of housing and local revitalization. </w:t>
      </w:r>
      <w:r w:rsidR="0079169B">
        <w:rPr>
          <w:color w:val="1A1A1A"/>
          <w:sz w:val="22"/>
          <w:szCs w:val="22"/>
        </w:rPr>
        <w:t xml:space="preserve"> </w:t>
      </w:r>
    </w:p>
    <w:p w14:paraId="2E33B9EA" w14:textId="3ADFC2FE" w:rsidR="006F3A4B" w:rsidRPr="00B73E89" w:rsidRDefault="006F3A4B" w:rsidP="006F3A4B">
      <w:pPr>
        <w:widowControl w:val="0"/>
        <w:tabs>
          <w:tab w:val="left" w:pos="940"/>
          <w:tab w:val="left" w:pos="1440"/>
        </w:tabs>
        <w:autoSpaceDE w:val="0"/>
        <w:autoSpaceDN w:val="0"/>
        <w:adjustRightInd w:val="0"/>
        <w:spacing w:after="120"/>
        <w:ind w:left="360"/>
        <w:rPr>
          <w:color w:val="1A1A1A"/>
          <w:sz w:val="22"/>
          <w:szCs w:val="22"/>
        </w:rPr>
      </w:pPr>
      <w:r w:rsidRPr="00B73E89">
        <w:rPr>
          <w:color w:val="1A1A1A"/>
          <w:sz w:val="22"/>
          <w:szCs w:val="22"/>
          <w:u w:val="single"/>
        </w:rPr>
        <w:t>Transportation Accessibility</w:t>
      </w:r>
      <w:r w:rsidRPr="00B73E89">
        <w:rPr>
          <w:color w:val="1A1A1A"/>
          <w:sz w:val="22"/>
          <w:szCs w:val="22"/>
        </w:rPr>
        <w:t xml:space="preserve"> – The project’s location encourages walkability and bicycling to nearby services. </w:t>
      </w:r>
      <w:r w:rsidR="007F351B">
        <w:rPr>
          <w:color w:val="1A1A1A"/>
          <w:sz w:val="22"/>
          <w:szCs w:val="22"/>
        </w:rPr>
        <w:t xml:space="preserve">There is public transit available </w:t>
      </w:r>
      <w:r w:rsidR="000B7CD1">
        <w:rPr>
          <w:color w:val="1A1A1A"/>
          <w:sz w:val="22"/>
          <w:szCs w:val="22"/>
        </w:rPr>
        <w:t>near</w:t>
      </w:r>
      <w:r w:rsidR="0079169B">
        <w:rPr>
          <w:color w:val="1A1A1A"/>
          <w:sz w:val="22"/>
          <w:szCs w:val="22"/>
        </w:rPr>
        <w:t xml:space="preserve"> the</w:t>
      </w:r>
      <w:r w:rsidR="007F351B">
        <w:rPr>
          <w:color w:val="1A1A1A"/>
          <w:sz w:val="22"/>
          <w:szCs w:val="22"/>
        </w:rPr>
        <w:t xml:space="preserve"> site</w:t>
      </w:r>
      <w:r w:rsidRPr="00B73E89">
        <w:rPr>
          <w:color w:val="1A1A1A"/>
          <w:sz w:val="22"/>
          <w:szCs w:val="22"/>
        </w:rPr>
        <w:t xml:space="preserve">. </w:t>
      </w:r>
    </w:p>
    <w:p w14:paraId="300AD88A" w14:textId="324821B1" w:rsidR="0079169B" w:rsidRPr="006F3A4B" w:rsidRDefault="0079169B" w:rsidP="0079169B">
      <w:pPr>
        <w:rPr>
          <w:sz w:val="22"/>
          <w:szCs w:val="22"/>
        </w:rPr>
      </w:pPr>
    </w:p>
    <w:sectPr w:rsidR="0079169B" w:rsidRPr="006F3A4B" w:rsidSect="00217389">
      <w:footerReference w:type="default" r:id="rId8"/>
      <w:headerReference w:type="first" r:id="rId9"/>
      <w:footerReference w:type="first" r:id="rId10"/>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D9104" w14:textId="77777777" w:rsidR="00217389" w:rsidRDefault="00217389" w:rsidP="004A3A4B">
      <w:r>
        <w:separator/>
      </w:r>
    </w:p>
  </w:endnote>
  <w:endnote w:type="continuationSeparator" w:id="0">
    <w:p w14:paraId="7C5C2A25" w14:textId="77777777" w:rsidR="00217389" w:rsidRDefault="00217389" w:rsidP="004A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1BA0" w14:textId="23FC6DEF" w:rsidR="008F6F70" w:rsidRPr="007F351B" w:rsidRDefault="007F351B" w:rsidP="007F351B">
    <w:pPr>
      <w:pStyle w:val="Footer"/>
      <w:pBdr>
        <w:top w:val="single" w:sz="2" w:space="1" w:color="auto"/>
      </w:pBdr>
      <w:jc w:val="center"/>
      <w:rPr>
        <w:rFonts w:asciiTheme="majorHAnsi" w:hAnsiTheme="majorHAnsi" w:cstheme="majorHAnsi"/>
        <w:sz w:val="20"/>
      </w:rPr>
    </w:pPr>
    <w:r>
      <w:rPr>
        <w:rFonts w:asciiTheme="majorHAnsi" w:hAnsiTheme="majorHAnsi" w:cstheme="majorHAnsi"/>
        <w:color w:val="000000"/>
        <w:sz w:val="20"/>
      </w:rPr>
      <w:t>119 East Seneca Street</w:t>
    </w:r>
    <w:r w:rsidRPr="00951FB1">
      <w:rPr>
        <w:rFonts w:asciiTheme="majorHAnsi" w:hAnsiTheme="majorHAnsi" w:cstheme="majorHAnsi"/>
        <w:color w:val="000000"/>
        <w:sz w:val="20"/>
      </w:rPr>
      <w:t xml:space="preserve">, Suite </w:t>
    </w:r>
    <w:r>
      <w:rPr>
        <w:rFonts w:asciiTheme="majorHAnsi" w:hAnsiTheme="majorHAnsi" w:cstheme="majorHAnsi"/>
        <w:color w:val="000000"/>
        <w:sz w:val="20"/>
      </w:rPr>
      <w:t>200</w:t>
    </w:r>
    <w:r w:rsidRPr="00951FB1">
      <w:rPr>
        <w:rFonts w:asciiTheme="majorHAnsi" w:hAnsiTheme="majorHAnsi" w:cstheme="majorHAnsi"/>
        <w:color w:val="000000"/>
        <w:sz w:val="20"/>
      </w:rPr>
      <w:t>, Ithaca, New York 14850 • phone: (607) 273-0005 • www.tompkinsIDA.org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EACD" w14:textId="73FD48C3" w:rsidR="008F6F70" w:rsidRPr="00E5695B" w:rsidRDefault="00E5695B" w:rsidP="00E5695B">
    <w:pPr>
      <w:pStyle w:val="Footer"/>
      <w:pBdr>
        <w:top w:val="single" w:sz="2" w:space="1" w:color="auto"/>
      </w:pBdr>
      <w:jc w:val="center"/>
      <w:rPr>
        <w:rFonts w:asciiTheme="majorHAnsi" w:hAnsiTheme="majorHAnsi" w:cstheme="majorHAnsi"/>
        <w:sz w:val="20"/>
      </w:rPr>
    </w:pPr>
    <w:r>
      <w:rPr>
        <w:rFonts w:asciiTheme="majorHAnsi" w:hAnsiTheme="majorHAnsi" w:cstheme="majorHAnsi"/>
        <w:color w:val="000000"/>
        <w:sz w:val="20"/>
      </w:rPr>
      <w:t>119 East Seneca Street</w:t>
    </w:r>
    <w:r w:rsidRPr="00951FB1">
      <w:rPr>
        <w:rFonts w:asciiTheme="majorHAnsi" w:hAnsiTheme="majorHAnsi" w:cstheme="majorHAnsi"/>
        <w:color w:val="000000"/>
        <w:sz w:val="20"/>
      </w:rPr>
      <w:t xml:space="preserve">, Suite </w:t>
    </w:r>
    <w:r>
      <w:rPr>
        <w:rFonts w:asciiTheme="majorHAnsi" w:hAnsiTheme="majorHAnsi" w:cstheme="majorHAnsi"/>
        <w:color w:val="000000"/>
        <w:sz w:val="20"/>
      </w:rPr>
      <w:t>200</w:t>
    </w:r>
    <w:r w:rsidRPr="00951FB1">
      <w:rPr>
        <w:rFonts w:asciiTheme="majorHAnsi" w:hAnsiTheme="majorHAnsi" w:cstheme="majorHAnsi"/>
        <w:color w:val="000000"/>
        <w:sz w:val="20"/>
      </w:rPr>
      <w:t>, Ithaca, New York 14850 • phone: (607) 273-0005 • www.tompkinsIDA.org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A0DB7" w14:textId="77777777" w:rsidR="00217389" w:rsidRDefault="00217389" w:rsidP="004A3A4B">
      <w:r>
        <w:separator/>
      </w:r>
    </w:p>
  </w:footnote>
  <w:footnote w:type="continuationSeparator" w:id="0">
    <w:p w14:paraId="3857B612" w14:textId="77777777" w:rsidR="00217389" w:rsidRDefault="00217389" w:rsidP="004A3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7357" w14:textId="77777777" w:rsidR="008F6F70" w:rsidRPr="003E3204" w:rsidRDefault="008F6F70" w:rsidP="008F6F70">
    <w:pPr>
      <w:spacing w:line="400" w:lineRule="exact"/>
      <w:ind w:right="-29"/>
      <w:rPr>
        <w:rFonts w:ascii="Calibri" w:hAnsi="Calibri"/>
        <w:color w:val="595959"/>
        <w:sz w:val="36"/>
        <w:szCs w:val="36"/>
      </w:rPr>
    </w:pPr>
    <w:r w:rsidRPr="003E3204">
      <w:rPr>
        <w:rFonts w:ascii="Calibri" w:hAnsi="Calibri"/>
        <w:color w:val="595959"/>
        <w:sz w:val="36"/>
        <w:szCs w:val="36"/>
      </w:rPr>
      <w:t xml:space="preserve">Tompkins County </w:t>
    </w:r>
  </w:p>
  <w:p w14:paraId="3E7E9E16" w14:textId="77777777" w:rsidR="008F6F70" w:rsidRPr="003E3204" w:rsidRDefault="008F6F70" w:rsidP="008F6F70">
    <w:pPr>
      <w:pBdr>
        <w:bottom w:val="single" w:sz="4" w:space="3" w:color="auto"/>
      </w:pBdr>
      <w:spacing w:line="320" w:lineRule="exact"/>
      <w:ind w:right="-29"/>
      <w:rPr>
        <w:rFonts w:ascii="Calibri" w:hAnsi="Calibri"/>
        <w:color w:val="595959"/>
        <w:sz w:val="36"/>
        <w:szCs w:val="36"/>
      </w:rPr>
    </w:pPr>
    <w:r w:rsidRPr="003E3204">
      <w:rPr>
        <w:rFonts w:ascii="Calibri" w:hAnsi="Calibri"/>
        <w:color w:val="595959"/>
        <w:sz w:val="36"/>
        <w:szCs w:val="36"/>
      </w:rPr>
      <w:t>Industrial Development Agency</w:t>
    </w:r>
  </w:p>
  <w:p w14:paraId="1A83756E" w14:textId="77777777" w:rsidR="008F6F70" w:rsidRPr="003E3204" w:rsidRDefault="008F6F70" w:rsidP="008F6F70">
    <w:pPr>
      <w:ind w:right="-22"/>
      <w:rPr>
        <w:rFonts w:ascii="Calibri" w:hAnsi="Calibri"/>
        <w:color w:val="595959"/>
        <w:sz w:val="44"/>
        <w:szCs w:val="44"/>
      </w:rPr>
    </w:pPr>
    <w:r w:rsidRPr="003E3204">
      <w:rPr>
        <w:rFonts w:ascii="Calibri" w:hAnsi="Calibri"/>
        <w:i/>
        <w:iCs/>
        <w:color w:val="595959"/>
        <w:sz w:val="20"/>
        <w:szCs w:val="20"/>
      </w:rPr>
      <w:t>Administration provided by Ithaca Area Economic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8B6DE9"/>
    <w:multiLevelType w:val="hybridMultilevel"/>
    <w:tmpl w:val="E93A195E"/>
    <w:lvl w:ilvl="0" w:tplc="3CFE28BA">
      <w:start w:val="12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615661">
    <w:abstractNumId w:val="0"/>
  </w:num>
  <w:num w:numId="2" w16cid:durableId="339046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FF"/>
    <w:rsid w:val="000009CC"/>
    <w:rsid w:val="0000302B"/>
    <w:rsid w:val="000042FA"/>
    <w:rsid w:val="00050B99"/>
    <w:rsid w:val="000670B5"/>
    <w:rsid w:val="000A1FFF"/>
    <w:rsid w:val="000A5D68"/>
    <w:rsid w:val="000B6D36"/>
    <w:rsid w:val="000B7CD1"/>
    <w:rsid w:val="000D45EB"/>
    <w:rsid w:val="00102400"/>
    <w:rsid w:val="00114D76"/>
    <w:rsid w:val="00137F33"/>
    <w:rsid w:val="001417AA"/>
    <w:rsid w:val="00156ABF"/>
    <w:rsid w:val="001677AE"/>
    <w:rsid w:val="00176E40"/>
    <w:rsid w:val="001956F0"/>
    <w:rsid w:val="001B0E69"/>
    <w:rsid w:val="001D5379"/>
    <w:rsid w:val="002151C1"/>
    <w:rsid w:val="00217389"/>
    <w:rsid w:val="00260EA7"/>
    <w:rsid w:val="00283532"/>
    <w:rsid w:val="002C1301"/>
    <w:rsid w:val="002E10FC"/>
    <w:rsid w:val="00302B84"/>
    <w:rsid w:val="00367235"/>
    <w:rsid w:val="003778DF"/>
    <w:rsid w:val="003B65C2"/>
    <w:rsid w:val="003E3204"/>
    <w:rsid w:val="004214F5"/>
    <w:rsid w:val="004610A1"/>
    <w:rsid w:val="00497FC1"/>
    <w:rsid w:val="004A3A4B"/>
    <w:rsid w:val="00503122"/>
    <w:rsid w:val="005406E9"/>
    <w:rsid w:val="00567F7F"/>
    <w:rsid w:val="005F16D6"/>
    <w:rsid w:val="005F4209"/>
    <w:rsid w:val="005F44E1"/>
    <w:rsid w:val="006307D9"/>
    <w:rsid w:val="0066571F"/>
    <w:rsid w:val="00683772"/>
    <w:rsid w:val="006A122B"/>
    <w:rsid w:val="006F3A4B"/>
    <w:rsid w:val="0070291E"/>
    <w:rsid w:val="00702D84"/>
    <w:rsid w:val="00703702"/>
    <w:rsid w:val="0071263A"/>
    <w:rsid w:val="007400CC"/>
    <w:rsid w:val="0079169B"/>
    <w:rsid w:val="007A5CFE"/>
    <w:rsid w:val="007B5AE7"/>
    <w:rsid w:val="007C6F15"/>
    <w:rsid w:val="007E23D8"/>
    <w:rsid w:val="007E3FEB"/>
    <w:rsid w:val="007F351B"/>
    <w:rsid w:val="007F72ED"/>
    <w:rsid w:val="00806881"/>
    <w:rsid w:val="00821CD0"/>
    <w:rsid w:val="00822802"/>
    <w:rsid w:val="00851C6D"/>
    <w:rsid w:val="008606B3"/>
    <w:rsid w:val="008C4DB3"/>
    <w:rsid w:val="008F6F70"/>
    <w:rsid w:val="00901BEA"/>
    <w:rsid w:val="00924449"/>
    <w:rsid w:val="00931198"/>
    <w:rsid w:val="00942762"/>
    <w:rsid w:val="00974706"/>
    <w:rsid w:val="00984629"/>
    <w:rsid w:val="00AB48D3"/>
    <w:rsid w:val="00B1230F"/>
    <w:rsid w:val="00B221EB"/>
    <w:rsid w:val="00B36522"/>
    <w:rsid w:val="00B37F7C"/>
    <w:rsid w:val="00B734DF"/>
    <w:rsid w:val="00B75C39"/>
    <w:rsid w:val="00BC1F0F"/>
    <w:rsid w:val="00BE6208"/>
    <w:rsid w:val="00BE7B0D"/>
    <w:rsid w:val="00C25FBA"/>
    <w:rsid w:val="00C45C16"/>
    <w:rsid w:val="00C76843"/>
    <w:rsid w:val="00CE5729"/>
    <w:rsid w:val="00D52152"/>
    <w:rsid w:val="00D5453D"/>
    <w:rsid w:val="00D82AE7"/>
    <w:rsid w:val="00D84F31"/>
    <w:rsid w:val="00D9414E"/>
    <w:rsid w:val="00DF38F1"/>
    <w:rsid w:val="00E22C12"/>
    <w:rsid w:val="00E41052"/>
    <w:rsid w:val="00E46D6A"/>
    <w:rsid w:val="00E5695B"/>
    <w:rsid w:val="00E74FB5"/>
    <w:rsid w:val="00ED4B28"/>
    <w:rsid w:val="00F002E4"/>
    <w:rsid w:val="00F47535"/>
    <w:rsid w:val="00FA3BD6"/>
    <w:rsid w:val="00FE7028"/>
    <w:rsid w:val="00FF072D"/>
    <w:rsid w:val="00FF3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FBD2C2"/>
  <w14:defaultImageDpi w14:val="300"/>
  <w15:docId w15:val="{546C8B27-4964-794A-90A1-EDC66F61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8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A4B"/>
    <w:pPr>
      <w:tabs>
        <w:tab w:val="center" w:pos="4320"/>
        <w:tab w:val="right" w:pos="8640"/>
      </w:tabs>
    </w:pPr>
  </w:style>
  <w:style w:type="character" w:customStyle="1" w:styleId="HeaderChar">
    <w:name w:val="Header Char"/>
    <w:basedOn w:val="DefaultParagraphFont"/>
    <w:link w:val="Header"/>
    <w:uiPriority w:val="99"/>
    <w:rsid w:val="004A3A4B"/>
  </w:style>
  <w:style w:type="paragraph" w:styleId="Footer">
    <w:name w:val="footer"/>
    <w:basedOn w:val="Normal"/>
    <w:link w:val="FooterChar"/>
    <w:uiPriority w:val="99"/>
    <w:unhideWhenUsed/>
    <w:rsid w:val="004A3A4B"/>
    <w:pPr>
      <w:tabs>
        <w:tab w:val="center" w:pos="4320"/>
        <w:tab w:val="right" w:pos="8640"/>
      </w:tabs>
    </w:pPr>
  </w:style>
  <w:style w:type="character" w:customStyle="1" w:styleId="FooterChar">
    <w:name w:val="Footer Char"/>
    <w:basedOn w:val="DefaultParagraphFont"/>
    <w:link w:val="Footer"/>
    <w:uiPriority w:val="99"/>
    <w:rsid w:val="004A3A4B"/>
  </w:style>
  <w:style w:type="table" w:styleId="TableGrid">
    <w:name w:val="Table Grid"/>
    <w:basedOn w:val="TableNormal"/>
    <w:uiPriority w:val="59"/>
    <w:rsid w:val="00B1230F"/>
    <w:rPr>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230F"/>
    <w:pPr>
      <w:ind w:left="720"/>
      <w:contextualSpacing/>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602CC-4D6A-6F47-88C1-3E0557C72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TCAD</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Filiberto</dc:creator>
  <cp:keywords/>
  <dc:description/>
  <cp:lastModifiedBy>Ina Arthur</cp:lastModifiedBy>
  <cp:revision>5</cp:revision>
  <cp:lastPrinted>2020-11-04T15:35:00Z</cp:lastPrinted>
  <dcterms:created xsi:type="dcterms:W3CDTF">2024-04-25T16:48:00Z</dcterms:created>
  <dcterms:modified xsi:type="dcterms:W3CDTF">2024-04-29T18:51:00Z</dcterms:modified>
</cp:coreProperties>
</file>