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367C5" w14:textId="77777777" w:rsidR="008606B3" w:rsidRPr="008F6F70" w:rsidRDefault="008606B3">
      <w:pPr>
        <w:rPr>
          <w:rFonts w:ascii="Calibri" w:hAnsi="Calibri"/>
          <w:i/>
          <w:iCs/>
          <w:sz w:val="22"/>
          <w:szCs w:val="22"/>
        </w:rPr>
      </w:pPr>
    </w:p>
    <w:p w14:paraId="5A00C768" w14:textId="77777777" w:rsidR="00B1230F" w:rsidRPr="0084341F" w:rsidRDefault="004B091D" w:rsidP="00B1230F">
      <w:pPr>
        <w:spacing w:line="24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Cinemapolis</w:t>
      </w:r>
      <w:proofErr w:type="spellEnd"/>
      <w:r w:rsidR="00E05B62">
        <w:rPr>
          <w:b/>
          <w:sz w:val="28"/>
          <w:szCs w:val="28"/>
        </w:rPr>
        <w:t xml:space="preserve"> </w:t>
      </w:r>
      <w:r w:rsidR="00B1230F" w:rsidRPr="0084341F">
        <w:rPr>
          <w:b/>
          <w:sz w:val="28"/>
          <w:szCs w:val="28"/>
        </w:rPr>
        <w:t>– Community Benefits Overview</w:t>
      </w:r>
    </w:p>
    <w:p w14:paraId="6AEECEA0" w14:textId="77777777" w:rsidR="00B1230F" w:rsidRPr="0084341F" w:rsidRDefault="004B091D" w:rsidP="00B1230F">
      <w:pPr>
        <w:spacing w:line="240" w:lineRule="atLeast"/>
        <w:rPr>
          <w:b/>
          <w:i/>
        </w:rPr>
      </w:pPr>
      <w:r>
        <w:rPr>
          <w:b/>
          <w:i/>
        </w:rPr>
        <w:t>1/8/24</w:t>
      </w:r>
    </w:p>
    <w:p w14:paraId="6679B4E7" w14:textId="77777777" w:rsidR="00B1230F" w:rsidRPr="008309A8" w:rsidRDefault="00B1230F" w:rsidP="00B1230F"/>
    <w:p w14:paraId="28048A9C" w14:textId="77777777" w:rsidR="00D665F5" w:rsidRDefault="00D665F5" w:rsidP="00B1230F">
      <w:pPr>
        <w:rPr>
          <w:rFonts w:eastAsia="Arial Unicode MS"/>
          <w:b/>
          <w:color w:val="000000"/>
          <w:sz w:val="22"/>
          <w:szCs w:val="22"/>
          <w:u w:val="single"/>
          <w:bdr w:val="nil"/>
        </w:rPr>
      </w:pPr>
    </w:p>
    <w:p w14:paraId="661DE798" w14:textId="48E22DD1" w:rsidR="00B1230F" w:rsidRPr="00D665F5" w:rsidRDefault="00B1230F" w:rsidP="00B1230F">
      <w:pPr>
        <w:rPr>
          <w:rFonts w:asciiTheme="minorHAnsi" w:eastAsia="Arial Unicode MS" w:hAnsiTheme="minorHAnsi"/>
          <w:b/>
          <w:color w:val="000000"/>
          <w:sz w:val="22"/>
          <w:szCs w:val="22"/>
          <w:u w:val="single"/>
          <w:bdr w:val="nil"/>
        </w:rPr>
      </w:pPr>
      <w:r w:rsidRPr="00D665F5">
        <w:rPr>
          <w:rFonts w:asciiTheme="minorHAnsi" w:eastAsia="Arial Unicode MS" w:hAnsiTheme="minorHAnsi"/>
          <w:b/>
          <w:color w:val="000000"/>
          <w:sz w:val="22"/>
          <w:szCs w:val="22"/>
          <w:u w:val="single"/>
          <w:bdr w:val="nil"/>
        </w:rPr>
        <w:t>Project Overview</w:t>
      </w:r>
    </w:p>
    <w:p w14:paraId="244A9EB8" w14:textId="77777777" w:rsidR="00B1230F" w:rsidRPr="00D665F5" w:rsidRDefault="00B1230F" w:rsidP="00B1230F">
      <w:pPr>
        <w:rPr>
          <w:rFonts w:asciiTheme="minorHAnsi" w:hAnsiTheme="minorHAnsi"/>
          <w:sz w:val="22"/>
          <w:szCs w:val="22"/>
        </w:rPr>
      </w:pPr>
    </w:p>
    <w:p w14:paraId="571E0B7C" w14:textId="076FB244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proofErr w:type="spellStart"/>
      <w:r w:rsidRPr="00D665F5">
        <w:rPr>
          <w:rFonts w:asciiTheme="minorHAnsi" w:hAnsiTheme="minorHAnsi"/>
          <w:sz w:val="22"/>
          <w:szCs w:val="22"/>
        </w:rPr>
        <w:t>Asteri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Parking, LLC is requesting a 28-year PILOT agreement, with a de minimis payment of $1 per year,</w:t>
      </w:r>
    </w:p>
    <w:p w14:paraId="6BC59690" w14:textId="018E9B58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for the ground floor space of 120 E Green Street, which is occupied by Seventh Art Corporation of Ithaca, d/b/a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="00F23402">
        <w:rPr>
          <w:rFonts w:asciiTheme="minorHAnsi" w:hAnsiTheme="minorHAnsi"/>
          <w:sz w:val="22"/>
          <w:szCs w:val="22"/>
        </w:rPr>
        <w:t>.</w:t>
      </w:r>
    </w:p>
    <w:p w14:paraId="75EDB5C2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</w:p>
    <w:p w14:paraId="162E0255" w14:textId="2FF5709B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The PILOT would support the long-term financial sustainability of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>, which in turn provides the</w:t>
      </w:r>
    </w:p>
    <w:p w14:paraId="55E24FF3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following benefits to them and the City of Ithaca. These include assistance in maintaining a long-term tenant in a space that was specially designed as a movie theater. While the economy for cinemas has been unstable, </w:t>
      </w:r>
      <w:proofErr w:type="spellStart"/>
      <w:r w:rsidRPr="00D665F5">
        <w:rPr>
          <w:rFonts w:asciiTheme="minorHAnsi" w:hAnsiTheme="minorHAnsi"/>
          <w:sz w:val="22"/>
          <w:szCs w:val="22"/>
        </w:rPr>
        <w:t>Asteri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received ownership of the land that was improved with a movie theater, which requires a very specific type of tenant.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helps support the success of projects in downtown Ithaca. The Ithaca Downtown Conference Center, another </w:t>
      </w:r>
      <w:proofErr w:type="spellStart"/>
      <w:r w:rsidRPr="00D665F5">
        <w:rPr>
          <w:rFonts w:asciiTheme="minorHAnsi" w:hAnsiTheme="minorHAnsi"/>
          <w:sz w:val="22"/>
          <w:szCs w:val="22"/>
        </w:rPr>
        <w:t>Asteri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tenant, works closely with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as a partner on many of their events. In addition, recreational amenities improve the quality of life for the residents of the  affordable housing project. Finally, visitors to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frequent the parking garage above the movie theater. Each of these ancillary projects have been previously supported by this Industrial Development Agency.</w:t>
      </w:r>
    </w:p>
    <w:p w14:paraId="426DB069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</w:p>
    <w:p w14:paraId="7B6B9324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 It is also important to note that, by buying out its leasehold, the Movie Theater would have qualified for a</w:t>
      </w:r>
    </w:p>
    <w:p w14:paraId="68F8B74C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full tax exemption under applicable law if the City of Ithaca and IURA had not transferred title to </w:t>
      </w:r>
      <w:proofErr w:type="spellStart"/>
      <w:r w:rsidRPr="00D665F5">
        <w:rPr>
          <w:rFonts w:asciiTheme="minorHAnsi" w:hAnsiTheme="minorHAnsi"/>
          <w:sz w:val="22"/>
          <w:szCs w:val="22"/>
        </w:rPr>
        <w:t>Asteri</w:t>
      </w:r>
      <w:proofErr w:type="spellEnd"/>
    </w:p>
    <w:p w14:paraId="289CDC1E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>Parking, LLC.</w:t>
      </w:r>
    </w:p>
    <w:p w14:paraId="3149B80A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</w:p>
    <w:p w14:paraId="24B527E4" w14:textId="42D6460A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>Formerly, the land underlying the movie theater was owned by IURA, subleased to a for-profit developer</w:t>
      </w:r>
    </w:p>
    <w:p w14:paraId="54C82A1F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called Cayuga Green, LLC, and then subleased to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>. The City of Ithaca and IURA conveyed</w:t>
      </w:r>
    </w:p>
    <w:p w14:paraId="1E04CE5E" w14:textId="0B585BDB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the land to </w:t>
      </w:r>
      <w:proofErr w:type="spellStart"/>
      <w:r w:rsidRPr="00D665F5">
        <w:rPr>
          <w:rFonts w:asciiTheme="minorHAnsi" w:hAnsiTheme="minorHAnsi"/>
          <w:sz w:val="22"/>
          <w:szCs w:val="22"/>
        </w:rPr>
        <w:t>Asteri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Parking, LLC, a subsidiary of Vecino Group, as part of the joint development of the</w:t>
      </w:r>
    </w:p>
    <w:p w14:paraId="396D9D3A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>parking garage in 2021.</w:t>
      </w:r>
    </w:p>
    <w:p w14:paraId="74A44A66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</w:p>
    <w:p w14:paraId="415C533D" w14:textId="74261944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In New York State, real property taxes are exempted when the land is owned by a charitable or governmental entity and used for a charitable or governmental purpose. Because of the financial situation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faced for several years, they took several significant steps to reduce its fixed</w:t>
      </w:r>
    </w:p>
    <w:p w14:paraId="0DF21485" w14:textId="2EA18CA6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costs and increase its revenues. Earlier in 2024,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bought out its leasehold from Cayuga Green,</w:t>
      </w:r>
    </w:p>
    <w:p w14:paraId="1B09DF20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>LLC, and now directly leases the movie theater from IURA, which significantly reduced its fixed costs.</w:t>
      </w:r>
    </w:p>
    <w:p w14:paraId="64C199ED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By removing the for-profit developer,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was making the Movie Theater eligible for real</w:t>
      </w:r>
    </w:p>
    <w:p w14:paraId="5DAE6E84" w14:textId="4FD7AC8E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property tax exemption. However, by transferring the title to </w:t>
      </w:r>
      <w:proofErr w:type="spellStart"/>
      <w:r w:rsidRPr="00D665F5">
        <w:rPr>
          <w:rFonts w:asciiTheme="minorHAnsi" w:hAnsiTheme="minorHAnsi"/>
          <w:sz w:val="22"/>
          <w:szCs w:val="22"/>
        </w:rPr>
        <w:t>Asteri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Parking, LLC, that possibility was removed.</w:t>
      </w:r>
    </w:p>
    <w:p w14:paraId="3B07696B" w14:textId="77777777" w:rsidR="00D665F5" w:rsidRPr="00D665F5" w:rsidRDefault="00D665F5" w:rsidP="00D665F5">
      <w:pPr>
        <w:rPr>
          <w:rFonts w:asciiTheme="minorHAnsi" w:hAnsiTheme="minorHAnsi"/>
          <w:sz w:val="22"/>
          <w:szCs w:val="22"/>
        </w:rPr>
      </w:pPr>
    </w:p>
    <w:p w14:paraId="22A4B262" w14:textId="5DC71F44" w:rsidR="004B091D" w:rsidRPr="00D665F5" w:rsidRDefault="00D665F5" w:rsidP="00D665F5">
      <w:pPr>
        <w:rPr>
          <w:rFonts w:asciiTheme="minorHAnsi" w:hAnsiTheme="minorHAnsi"/>
          <w:sz w:val="22"/>
          <w:szCs w:val="22"/>
        </w:rPr>
      </w:pPr>
      <w:r w:rsidRPr="00D665F5">
        <w:rPr>
          <w:rFonts w:asciiTheme="minorHAnsi" w:hAnsiTheme="minorHAnsi"/>
          <w:sz w:val="22"/>
          <w:szCs w:val="22"/>
        </w:rPr>
        <w:t xml:space="preserve">The applicant has agreed to amend their lease so that </w:t>
      </w:r>
      <w:proofErr w:type="spellStart"/>
      <w:r w:rsidRPr="00D665F5">
        <w:rPr>
          <w:rFonts w:asciiTheme="minorHAnsi" w:hAnsiTheme="minorHAnsi"/>
          <w:sz w:val="22"/>
          <w:szCs w:val="22"/>
        </w:rPr>
        <w:t>Asteri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 Parking, LLC assumes responsibility for the real property taxes assessed against </w:t>
      </w:r>
      <w:proofErr w:type="spellStart"/>
      <w:r w:rsidRPr="00D665F5">
        <w:rPr>
          <w:rFonts w:asciiTheme="minorHAnsi" w:hAnsiTheme="minorHAnsi"/>
          <w:sz w:val="22"/>
          <w:szCs w:val="22"/>
        </w:rPr>
        <w:t>Cinemapolis</w:t>
      </w:r>
      <w:proofErr w:type="spellEnd"/>
      <w:r w:rsidRPr="00D665F5">
        <w:rPr>
          <w:rFonts w:asciiTheme="minorHAnsi" w:hAnsiTheme="minorHAnsi"/>
          <w:sz w:val="22"/>
          <w:szCs w:val="22"/>
        </w:rPr>
        <w:t xml:space="preserve">. </w:t>
      </w:r>
      <w:r w:rsidR="004B091D" w:rsidRPr="00D665F5">
        <w:rPr>
          <w:rFonts w:asciiTheme="minorHAnsi" w:hAnsiTheme="minorHAnsi"/>
          <w:sz w:val="22"/>
          <w:szCs w:val="22"/>
        </w:rPr>
        <w:t>The applicant is requesting a PILOT payment of $1 per year for 28 years, which is co-terminus with the lease. In year 29, the tenant will have the ability for the first time to purchase the building.</w:t>
      </w:r>
    </w:p>
    <w:p w14:paraId="235C2AD3" w14:textId="77777777" w:rsidR="00B82956" w:rsidRPr="00D665F5" w:rsidRDefault="00B82956" w:rsidP="00B82956">
      <w:pPr>
        <w:rPr>
          <w:rFonts w:asciiTheme="minorHAnsi" w:hAnsiTheme="minorHAnsi"/>
          <w:sz w:val="22"/>
          <w:szCs w:val="22"/>
        </w:rPr>
      </w:pPr>
    </w:p>
    <w:p w14:paraId="1315C23D" w14:textId="77777777" w:rsidR="00D665F5" w:rsidRPr="00D665F5" w:rsidRDefault="00D665F5" w:rsidP="00B82956">
      <w:pPr>
        <w:rPr>
          <w:rFonts w:asciiTheme="minorHAnsi" w:hAnsiTheme="minorHAnsi"/>
          <w:sz w:val="22"/>
          <w:szCs w:val="22"/>
        </w:rPr>
      </w:pPr>
    </w:p>
    <w:p w14:paraId="7CF12D7E" w14:textId="77777777" w:rsidR="00D665F5" w:rsidRPr="00D665F5" w:rsidRDefault="00D665F5" w:rsidP="00B82956">
      <w:pPr>
        <w:rPr>
          <w:rFonts w:asciiTheme="minorHAnsi" w:hAnsiTheme="minorHAnsi"/>
          <w:sz w:val="22"/>
          <w:szCs w:val="22"/>
        </w:rPr>
      </w:pPr>
    </w:p>
    <w:p w14:paraId="6A49CB6E" w14:textId="77777777" w:rsidR="00D665F5" w:rsidRPr="00D665F5" w:rsidRDefault="00D665F5" w:rsidP="00B82956">
      <w:pPr>
        <w:rPr>
          <w:rFonts w:asciiTheme="minorHAnsi" w:hAnsiTheme="minorHAnsi"/>
          <w:sz w:val="22"/>
          <w:szCs w:val="22"/>
        </w:rPr>
      </w:pPr>
    </w:p>
    <w:p w14:paraId="21E3B699" w14:textId="77777777" w:rsidR="00B82956" w:rsidRPr="00D665F5" w:rsidRDefault="00B82956" w:rsidP="00B82956">
      <w:pPr>
        <w:rPr>
          <w:rFonts w:asciiTheme="minorHAnsi" w:hAnsiTheme="minorHAnsi"/>
          <w:sz w:val="22"/>
          <w:szCs w:val="22"/>
        </w:rPr>
      </w:pPr>
    </w:p>
    <w:p w14:paraId="37E0CC2C" w14:textId="77777777" w:rsidR="00B1230F" w:rsidRPr="00D665F5" w:rsidRDefault="00B1230F" w:rsidP="00B1230F">
      <w:pPr>
        <w:rPr>
          <w:rFonts w:asciiTheme="minorHAnsi" w:eastAsia="Arial Unicode MS" w:hAnsiTheme="minorHAnsi"/>
          <w:b/>
          <w:color w:val="000000"/>
          <w:sz w:val="22"/>
          <w:szCs w:val="22"/>
          <w:u w:val="single"/>
          <w:bdr w:val="nil"/>
        </w:rPr>
      </w:pPr>
      <w:r w:rsidRPr="00D665F5">
        <w:rPr>
          <w:rFonts w:asciiTheme="minorHAnsi" w:eastAsia="Arial Unicode MS" w:hAnsiTheme="minorHAnsi"/>
          <w:b/>
          <w:color w:val="000000"/>
          <w:sz w:val="22"/>
          <w:szCs w:val="22"/>
          <w:u w:val="single"/>
          <w:bdr w:val="nil"/>
        </w:rPr>
        <w:lastRenderedPageBreak/>
        <w:t>Cost-Benefit Analysis</w:t>
      </w:r>
    </w:p>
    <w:p w14:paraId="46057D7D" w14:textId="77777777" w:rsidR="00B1230F" w:rsidRPr="00D665F5" w:rsidRDefault="00B1230F" w:rsidP="00B1230F">
      <w:pPr>
        <w:rPr>
          <w:rFonts w:asciiTheme="minorHAnsi" w:hAnsiTheme="minorHAnsi"/>
          <w:sz w:val="22"/>
          <w:szCs w:val="22"/>
        </w:rPr>
      </w:pPr>
    </w:p>
    <w:p w14:paraId="5BAC0584" w14:textId="77777777" w:rsidR="00B1230F" w:rsidRPr="00D665F5" w:rsidRDefault="004B091D" w:rsidP="00B1230F">
      <w:pPr>
        <w:pStyle w:val="ListParagraph"/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1A1A1A"/>
          <w:sz w:val="22"/>
          <w:szCs w:val="22"/>
        </w:rPr>
      </w:pPr>
      <w:r w:rsidRPr="00D665F5">
        <w:rPr>
          <w:rFonts w:asciiTheme="minorHAnsi" w:hAnsiTheme="minorHAnsi"/>
          <w:color w:val="1A1A1A"/>
          <w:sz w:val="22"/>
          <w:szCs w:val="22"/>
        </w:rPr>
        <w:t xml:space="preserve"> </w:t>
      </w:r>
      <w:r w:rsidR="00B1230F" w:rsidRPr="00D665F5">
        <w:rPr>
          <w:rFonts w:asciiTheme="minorHAnsi" w:hAnsiTheme="minorHAnsi"/>
          <w:color w:val="1A1A1A"/>
          <w:sz w:val="22"/>
          <w:szCs w:val="22"/>
        </w:rPr>
        <w:t xml:space="preserve">Extent to which project would create and/or retain private sector jobs – </w:t>
      </w:r>
      <w:r w:rsidRPr="00D665F5">
        <w:rPr>
          <w:rFonts w:asciiTheme="minorHAnsi" w:hAnsiTheme="minorHAnsi"/>
          <w:color w:val="1A1A1A"/>
          <w:sz w:val="22"/>
          <w:szCs w:val="22"/>
        </w:rPr>
        <w:t xml:space="preserve">The project will retain five full time and 8 part time positions. </w:t>
      </w:r>
    </w:p>
    <w:p w14:paraId="715C8260" w14:textId="77777777" w:rsidR="00B1230F" w:rsidRPr="00D665F5" w:rsidRDefault="00B1230F" w:rsidP="00B1230F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120" w:lineRule="exact"/>
        <w:ind w:left="360"/>
        <w:rPr>
          <w:rFonts w:asciiTheme="minorHAnsi" w:hAnsiTheme="minorHAnsi"/>
          <w:color w:val="1A1A1A"/>
          <w:sz w:val="22"/>
          <w:szCs w:val="22"/>
        </w:rPr>
      </w:pPr>
    </w:p>
    <w:p w14:paraId="05028C86" w14:textId="77777777" w:rsidR="00B1230F" w:rsidRPr="00D665F5" w:rsidRDefault="00B1230F" w:rsidP="004B091D">
      <w:pPr>
        <w:pStyle w:val="ListParagraph"/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1A1A1A"/>
          <w:sz w:val="22"/>
          <w:szCs w:val="22"/>
        </w:rPr>
      </w:pPr>
      <w:r w:rsidRPr="00D665F5">
        <w:rPr>
          <w:rFonts w:asciiTheme="minorHAnsi" w:hAnsiTheme="minorHAnsi"/>
          <w:color w:val="1A1A1A"/>
          <w:sz w:val="22"/>
          <w:szCs w:val="22"/>
        </w:rPr>
        <w:t>Estimated value of tax exemption –</w:t>
      </w:r>
      <w:r w:rsidR="004B091D" w:rsidRPr="00D665F5">
        <w:rPr>
          <w:rFonts w:asciiTheme="minorHAnsi" w:hAnsiTheme="minorHAnsi"/>
          <w:color w:val="1A1A1A"/>
          <w:sz w:val="22"/>
          <w:szCs w:val="22"/>
        </w:rPr>
        <w:t xml:space="preserve"> $910,169 in property tax savings over 28 years</w:t>
      </w:r>
    </w:p>
    <w:p w14:paraId="4DD59685" w14:textId="77777777" w:rsidR="00B1230F" w:rsidRPr="00D665F5" w:rsidRDefault="00B1230F" w:rsidP="00B1230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1A1A1A"/>
          <w:sz w:val="22"/>
          <w:szCs w:val="22"/>
        </w:rPr>
      </w:pPr>
    </w:p>
    <w:p w14:paraId="15FC3BBE" w14:textId="77777777" w:rsidR="00B1230F" w:rsidRPr="00D665F5" w:rsidRDefault="00B1230F" w:rsidP="007A101E">
      <w:pPr>
        <w:pStyle w:val="ListParagraph"/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1A1A1A"/>
          <w:sz w:val="22"/>
          <w:szCs w:val="22"/>
        </w:rPr>
      </w:pPr>
      <w:r w:rsidRPr="00D665F5">
        <w:rPr>
          <w:rFonts w:asciiTheme="minorHAnsi" w:hAnsiTheme="minorHAnsi"/>
          <w:color w:val="1A1A1A"/>
          <w:sz w:val="22"/>
          <w:szCs w:val="22"/>
        </w:rPr>
        <w:t>Estimate of private sector investment to be generated by the project –</w:t>
      </w:r>
      <w:r w:rsidR="004B091D" w:rsidRPr="00D665F5">
        <w:rPr>
          <w:rFonts w:asciiTheme="minorHAnsi" w:hAnsiTheme="minorHAnsi"/>
          <w:color w:val="1A1A1A"/>
          <w:sz w:val="22"/>
          <w:szCs w:val="22"/>
        </w:rPr>
        <w:t xml:space="preserve"> n/a – there is no construction related to this project</w:t>
      </w:r>
    </w:p>
    <w:p w14:paraId="088CB02F" w14:textId="77777777" w:rsidR="00B1230F" w:rsidRPr="00D665F5" w:rsidRDefault="00B1230F" w:rsidP="00B1230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1A1A1A"/>
          <w:sz w:val="22"/>
          <w:szCs w:val="22"/>
        </w:rPr>
      </w:pPr>
    </w:p>
    <w:p w14:paraId="184FAB7B" w14:textId="77777777" w:rsidR="00B1230F" w:rsidRPr="00D665F5" w:rsidRDefault="00B1230F" w:rsidP="00B1230F">
      <w:pPr>
        <w:pStyle w:val="ListParagraph"/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1A1A1A"/>
          <w:sz w:val="22"/>
          <w:szCs w:val="22"/>
        </w:rPr>
      </w:pPr>
      <w:r w:rsidRPr="00D665F5">
        <w:rPr>
          <w:rFonts w:asciiTheme="minorHAnsi" w:hAnsiTheme="minorHAnsi"/>
          <w:color w:val="1A1A1A"/>
          <w:sz w:val="22"/>
          <w:szCs w:val="22"/>
        </w:rPr>
        <w:t>Likelihood of completing project in a timely manner</w:t>
      </w:r>
      <w:r w:rsidR="00616161" w:rsidRPr="00D665F5">
        <w:rPr>
          <w:rFonts w:asciiTheme="minorHAnsi" w:hAnsiTheme="minorHAnsi"/>
          <w:color w:val="1A1A1A"/>
          <w:sz w:val="22"/>
          <w:szCs w:val="22"/>
        </w:rPr>
        <w:t xml:space="preserve"> –</w:t>
      </w:r>
      <w:r w:rsidR="004B091D" w:rsidRPr="00D665F5">
        <w:rPr>
          <w:rFonts w:asciiTheme="minorHAnsi" w:hAnsiTheme="minorHAnsi"/>
          <w:color w:val="1A1A1A"/>
          <w:sz w:val="22"/>
          <w:szCs w:val="22"/>
        </w:rPr>
        <w:t xml:space="preserve"> n/a</w:t>
      </w:r>
    </w:p>
    <w:p w14:paraId="43724E32" w14:textId="77777777" w:rsidR="00B1230F" w:rsidRPr="00D665F5" w:rsidRDefault="00B1230F" w:rsidP="00B1230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120" w:lineRule="exact"/>
        <w:ind w:left="360"/>
        <w:contextualSpacing/>
        <w:rPr>
          <w:rFonts w:asciiTheme="minorHAnsi" w:hAnsiTheme="minorHAnsi"/>
          <w:color w:val="1A1A1A"/>
          <w:sz w:val="22"/>
          <w:szCs w:val="22"/>
        </w:rPr>
      </w:pPr>
    </w:p>
    <w:p w14:paraId="132EBD11" w14:textId="77777777" w:rsidR="00B1230F" w:rsidRPr="00D665F5" w:rsidRDefault="00B1230F" w:rsidP="00B1230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360"/>
        <w:rPr>
          <w:rFonts w:asciiTheme="minorHAnsi" w:hAnsiTheme="minorHAnsi"/>
          <w:color w:val="1A1A1A"/>
          <w:sz w:val="22"/>
          <w:szCs w:val="22"/>
        </w:rPr>
      </w:pPr>
    </w:p>
    <w:p w14:paraId="4CBE10DC" w14:textId="77777777" w:rsidR="00D665F5" w:rsidRPr="00D665F5" w:rsidRDefault="00B1230F" w:rsidP="00D665F5">
      <w:pPr>
        <w:pStyle w:val="ListParagraph"/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1A1A1A"/>
          <w:sz w:val="22"/>
          <w:szCs w:val="22"/>
        </w:rPr>
      </w:pPr>
      <w:r w:rsidRPr="00D665F5">
        <w:rPr>
          <w:rFonts w:asciiTheme="minorHAnsi" w:hAnsiTheme="minorHAnsi"/>
          <w:color w:val="1A1A1A"/>
          <w:sz w:val="22"/>
          <w:szCs w:val="22"/>
        </w:rPr>
        <w:t>Extent to which project would generate additional sources of revenue for local taxing jurisdictions</w:t>
      </w:r>
      <w:r w:rsidR="00616161" w:rsidRPr="00D665F5">
        <w:rPr>
          <w:rFonts w:asciiTheme="minorHAnsi" w:hAnsiTheme="minorHAnsi"/>
          <w:color w:val="1A1A1A"/>
          <w:sz w:val="22"/>
          <w:szCs w:val="22"/>
        </w:rPr>
        <w:t xml:space="preserve"> –</w:t>
      </w:r>
      <w:r w:rsidR="004B091D" w:rsidRPr="00D665F5">
        <w:rPr>
          <w:rFonts w:asciiTheme="minorHAnsi" w:hAnsiTheme="minorHAnsi"/>
          <w:color w:val="1A1A1A"/>
          <w:sz w:val="22"/>
          <w:szCs w:val="22"/>
        </w:rPr>
        <w:t xml:space="preserve"> the tenant sales generate an estimated $20,000 in local sales tax each year.</w:t>
      </w:r>
    </w:p>
    <w:p w14:paraId="2523F367" w14:textId="77777777" w:rsidR="00D665F5" w:rsidRPr="00D665F5" w:rsidRDefault="00D665F5" w:rsidP="004B091D">
      <w:pPr>
        <w:rPr>
          <w:rFonts w:asciiTheme="minorHAnsi" w:eastAsia="Arial Unicode MS" w:hAnsiTheme="minorHAnsi"/>
          <w:b/>
          <w:color w:val="000000"/>
          <w:sz w:val="22"/>
          <w:szCs w:val="22"/>
          <w:u w:val="single"/>
          <w:bdr w:val="nil"/>
        </w:rPr>
      </w:pPr>
    </w:p>
    <w:p w14:paraId="23FCF1E1" w14:textId="77777777" w:rsidR="00D665F5" w:rsidRPr="00D665F5" w:rsidRDefault="00D665F5" w:rsidP="004B091D">
      <w:pPr>
        <w:rPr>
          <w:rFonts w:asciiTheme="minorHAnsi" w:eastAsia="Arial Unicode MS" w:hAnsiTheme="minorHAnsi"/>
          <w:b/>
          <w:color w:val="000000"/>
          <w:sz w:val="22"/>
          <w:szCs w:val="22"/>
          <w:u w:val="single"/>
          <w:bdr w:val="nil"/>
        </w:rPr>
      </w:pPr>
    </w:p>
    <w:p w14:paraId="48C6C86C" w14:textId="6F3D76A1" w:rsidR="004B091D" w:rsidRPr="00D665F5" w:rsidRDefault="004B091D" w:rsidP="004B091D">
      <w:pPr>
        <w:rPr>
          <w:rFonts w:asciiTheme="minorHAnsi" w:eastAsia="Arial Unicode MS" w:hAnsiTheme="minorHAnsi"/>
          <w:b/>
          <w:color w:val="000000"/>
          <w:sz w:val="22"/>
          <w:szCs w:val="22"/>
          <w:u w:val="single"/>
          <w:bdr w:val="nil"/>
        </w:rPr>
      </w:pPr>
      <w:r w:rsidRPr="00D665F5">
        <w:rPr>
          <w:rFonts w:asciiTheme="minorHAnsi" w:eastAsia="Arial Unicode MS" w:hAnsiTheme="minorHAnsi"/>
          <w:b/>
          <w:color w:val="000000"/>
          <w:sz w:val="22"/>
          <w:szCs w:val="22"/>
          <w:u w:val="single"/>
          <w:bdr w:val="nil"/>
        </w:rPr>
        <w:t>Projected Property Tax Savings</w:t>
      </w:r>
    </w:p>
    <w:tbl>
      <w:tblPr>
        <w:tblW w:w="5470" w:type="dxa"/>
        <w:tblLayout w:type="fixed"/>
        <w:tblLook w:val="04A0" w:firstRow="1" w:lastRow="0" w:firstColumn="1" w:lastColumn="0" w:noHBand="0" w:noVBand="1"/>
      </w:tblPr>
      <w:tblGrid>
        <w:gridCol w:w="1472"/>
        <w:gridCol w:w="1231"/>
        <w:gridCol w:w="807"/>
        <w:gridCol w:w="1960"/>
      </w:tblGrid>
      <w:tr w:rsidR="004B091D" w:rsidRPr="00D665F5" w14:paraId="713AAAFF" w14:textId="77777777" w:rsidTr="004B091D">
        <w:trPr>
          <w:trHeight w:val="227"/>
        </w:trPr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B1D3" w14:textId="77777777" w:rsidR="004B091D" w:rsidRPr="00D665F5" w:rsidRDefault="004B091D" w:rsidP="004B091D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$      700,000 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B647" w14:textId="77777777" w:rsidR="004B091D" w:rsidRPr="00D665F5" w:rsidRDefault="004B091D" w:rsidP="004B091D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Current Assessment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BEB4" w14:textId="77777777" w:rsidR="004B091D" w:rsidRPr="00D665F5" w:rsidRDefault="004B091D" w:rsidP="004B091D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4B091D" w:rsidRPr="00D665F5" w14:paraId="62C02497" w14:textId="77777777" w:rsidTr="004B091D">
        <w:trPr>
          <w:trHeight w:val="227"/>
        </w:trPr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EEDE6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2.00%</w:t>
            </w: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74BC" w14:textId="77777777" w:rsidR="004B091D" w:rsidRPr="00D665F5" w:rsidRDefault="004B091D" w:rsidP="004B091D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Annual Tax Rate/Assessment Increase</w:t>
            </w:r>
          </w:p>
        </w:tc>
      </w:tr>
      <w:tr w:rsidR="004B091D" w:rsidRPr="00D665F5" w14:paraId="03973B81" w14:textId="77777777" w:rsidTr="004B091D">
        <w:trPr>
          <w:trHeight w:val="227"/>
        </w:trPr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9BF6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DD71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3748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975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4B091D" w:rsidRPr="00D665F5" w14:paraId="49F42F65" w14:textId="77777777" w:rsidTr="004B091D">
        <w:trPr>
          <w:trHeight w:val="227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753D" w14:textId="77777777" w:rsidR="004B091D" w:rsidRPr="00D665F5" w:rsidRDefault="004B091D" w:rsidP="004B091D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Tax Rates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99E6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u w:val="singl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4E63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  <w:u w:val="singl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C2A0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4B091D" w:rsidRPr="00D665F5" w14:paraId="0FB0FBDA" w14:textId="77777777" w:rsidTr="004B091D">
        <w:trPr>
          <w:trHeight w:val="227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32B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County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5B6C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5.317458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E6B2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7CE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4B091D" w:rsidRPr="00D665F5" w14:paraId="4C4D1BEB" w14:textId="77777777" w:rsidTr="004B091D">
        <w:trPr>
          <w:trHeight w:val="227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EA6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City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2F79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11.980000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2580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298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4B091D" w:rsidRPr="00D665F5" w14:paraId="09E103D8" w14:textId="77777777" w:rsidTr="004B091D">
        <w:trPr>
          <w:trHeight w:val="227"/>
        </w:trPr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D306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School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600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17.795626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A884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A8F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4B091D" w:rsidRPr="00D665F5" w14:paraId="07C54B73" w14:textId="77777777" w:rsidTr="004B091D">
        <w:trPr>
          <w:trHeight w:val="227"/>
        </w:trPr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2F77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B256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35.093084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595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9F8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46"/>
        <w:tblW w:w="4267" w:type="dxa"/>
        <w:tblLook w:val="04A0" w:firstRow="1" w:lastRow="0" w:firstColumn="1" w:lastColumn="0" w:noHBand="0" w:noVBand="1"/>
      </w:tblPr>
      <w:tblGrid>
        <w:gridCol w:w="630"/>
        <w:gridCol w:w="800"/>
        <w:gridCol w:w="652"/>
        <w:gridCol w:w="788"/>
        <w:gridCol w:w="1397"/>
      </w:tblGrid>
      <w:tr w:rsidR="004B091D" w:rsidRPr="00D665F5" w14:paraId="3382A467" w14:textId="77777777" w:rsidTr="004B091D">
        <w:trPr>
          <w:trHeight w:val="2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31C7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3E5F36" w14:textId="77777777" w:rsidR="004B091D" w:rsidRPr="00D665F5" w:rsidRDefault="004B091D" w:rsidP="004B091D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Taxes Abated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4BC5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</w:tr>
      <w:tr w:rsidR="004B091D" w:rsidRPr="00D665F5" w14:paraId="76CD0CC1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C31C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CBC8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3DA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C721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 xml:space="preserve">School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3CD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4B091D" w:rsidRPr="00D665F5" w14:paraId="11B4782B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4DC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F3A8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3,722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537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8,386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CBFD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12,457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59C4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24,565</w:t>
            </w:r>
          </w:p>
        </w:tc>
      </w:tr>
      <w:tr w:rsidR="004B091D" w:rsidRPr="00D665F5" w14:paraId="45E9AA38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B36E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6A6F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E9C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0AE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883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25,056 </w:t>
            </w:r>
          </w:p>
        </w:tc>
      </w:tr>
      <w:tr w:rsidR="004B091D" w:rsidRPr="00D665F5" w14:paraId="0D03390A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BC3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4460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FD3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88D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B4C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25,558 </w:t>
            </w:r>
          </w:p>
        </w:tc>
      </w:tr>
      <w:tr w:rsidR="004B091D" w:rsidRPr="00D665F5" w14:paraId="069CE96E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3B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D7C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3E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393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7C1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26,069 </w:t>
            </w:r>
          </w:p>
        </w:tc>
      </w:tr>
      <w:tr w:rsidR="004B091D" w:rsidRPr="00D665F5" w14:paraId="593EAF93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AEC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8EC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0B2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180A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647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26,590 </w:t>
            </w:r>
          </w:p>
        </w:tc>
      </w:tr>
      <w:tr w:rsidR="004B091D" w:rsidRPr="00D665F5" w14:paraId="74EAC03F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391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615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E8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EF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4F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27,122 </w:t>
            </w:r>
          </w:p>
        </w:tc>
      </w:tr>
      <w:tr w:rsidR="004B091D" w:rsidRPr="00D665F5" w14:paraId="0B73A24F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7E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3C8F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79E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EAF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195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27,664 </w:t>
            </w:r>
          </w:p>
        </w:tc>
      </w:tr>
      <w:tr w:rsidR="004B091D" w:rsidRPr="00D665F5" w14:paraId="0A699B8F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9DE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5A31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DCE6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7E4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27B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28,218 </w:t>
            </w:r>
          </w:p>
        </w:tc>
      </w:tr>
      <w:tr w:rsidR="004B091D" w:rsidRPr="00D665F5" w14:paraId="0544F8F9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6C62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E41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F55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AC7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84C3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28,782 </w:t>
            </w:r>
          </w:p>
        </w:tc>
      </w:tr>
      <w:tr w:rsidR="004B091D" w:rsidRPr="00D665F5" w14:paraId="57D51CDD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0A8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8F7F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7E5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04C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815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29,358 </w:t>
            </w:r>
          </w:p>
        </w:tc>
      </w:tr>
      <w:tr w:rsidR="004B091D" w:rsidRPr="00D665F5" w14:paraId="51E4BDF5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1EF5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A38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F8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23C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06F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29,945 </w:t>
            </w:r>
          </w:p>
        </w:tc>
      </w:tr>
      <w:tr w:rsidR="004B091D" w:rsidRPr="00D665F5" w14:paraId="5968EE02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E9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88B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3DF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E68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3EB1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30,544 </w:t>
            </w:r>
          </w:p>
        </w:tc>
      </w:tr>
      <w:tr w:rsidR="004B091D" w:rsidRPr="00D665F5" w14:paraId="5E4591FA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72C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1A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F98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3D5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582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31,155 </w:t>
            </w:r>
          </w:p>
        </w:tc>
      </w:tr>
      <w:tr w:rsidR="004B091D" w:rsidRPr="00D665F5" w14:paraId="02434878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174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1D7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F22C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5D40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1CDF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31,778 </w:t>
            </w:r>
          </w:p>
        </w:tc>
      </w:tr>
      <w:tr w:rsidR="004B091D" w:rsidRPr="00D665F5" w14:paraId="592FC888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292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26F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992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B16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4B0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32,413 </w:t>
            </w:r>
          </w:p>
        </w:tc>
      </w:tr>
      <w:tr w:rsidR="004B091D" w:rsidRPr="00D665F5" w14:paraId="0D6925BE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605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4C5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A4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B56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EDD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33,061 </w:t>
            </w:r>
          </w:p>
        </w:tc>
      </w:tr>
      <w:tr w:rsidR="004B091D" w:rsidRPr="00D665F5" w14:paraId="7C85161D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902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0EE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E4EF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2EF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EA0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33,723 </w:t>
            </w:r>
          </w:p>
        </w:tc>
      </w:tr>
      <w:tr w:rsidR="004B091D" w:rsidRPr="00D665F5" w14:paraId="7A79DF2E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607B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197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5E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B98A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82C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34,397 </w:t>
            </w:r>
          </w:p>
        </w:tc>
      </w:tr>
      <w:tr w:rsidR="004B091D" w:rsidRPr="00D665F5" w14:paraId="08D2B7EC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7B1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E11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27EE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A28F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44A2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35,085 </w:t>
            </w:r>
          </w:p>
        </w:tc>
      </w:tr>
      <w:tr w:rsidR="004B091D" w:rsidRPr="00D665F5" w14:paraId="420E6238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8DA3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2D5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5D31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C82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CCB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35,787 </w:t>
            </w:r>
          </w:p>
        </w:tc>
      </w:tr>
      <w:tr w:rsidR="004B091D" w:rsidRPr="00D665F5" w14:paraId="6872620D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DC74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2D60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08B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814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AA2D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36,503 </w:t>
            </w:r>
          </w:p>
        </w:tc>
      </w:tr>
      <w:tr w:rsidR="004B091D" w:rsidRPr="00D665F5" w14:paraId="5EB7A739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78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3B15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63D4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5A0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249F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37,233 </w:t>
            </w:r>
          </w:p>
        </w:tc>
      </w:tr>
      <w:tr w:rsidR="004B091D" w:rsidRPr="00D665F5" w14:paraId="498BE7C7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3024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A747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0C3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18A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983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37,977 </w:t>
            </w:r>
          </w:p>
        </w:tc>
      </w:tr>
      <w:tr w:rsidR="004B091D" w:rsidRPr="00D665F5" w14:paraId="4E53802C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82F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0337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B0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21B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269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38,737 </w:t>
            </w:r>
          </w:p>
        </w:tc>
      </w:tr>
      <w:tr w:rsidR="004B091D" w:rsidRPr="00D665F5" w14:paraId="57A44D8B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CB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61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11F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F01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BD1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39,512 </w:t>
            </w:r>
          </w:p>
        </w:tc>
      </w:tr>
      <w:tr w:rsidR="004B091D" w:rsidRPr="00D665F5" w14:paraId="77D7F925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550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369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25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ACE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EF2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40,302 </w:t>
            </w:r>
          </w:p>
        </w:tc>
      </w:tr>
      <w:tr w:rsidR="004B091D" w:rsidRPr="00D665F5" w14:paraId="66842982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B7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48A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54F8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8D6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2F2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41,108 </w:t>
            </w:r>
          </w:p>
        </w:tc>
      </w:tr>
      <w:tr w:rsidR="004B091D" w:rsidRPr="00D665F5" w14:paraId="05C77898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5A22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87E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BA6D" w14:textId="77777777" w:rsidR="004B091D" w:rsidRPr="00D665F5" w:rsidRDefault="004B091D" w:rsidP="004B091D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BCCB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7F60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 xml:space="preserve">            41,930 </w:t>
            </w:r>
          </w:p>
        </w:tc>
      </w:tr>
      <w:tr w:rsidR="004B091D" w:rsidRPr="00D665F5" w14:paraId="2F72874E" w14:textId="77777777" w:rsidTr="004B091D">
        <w:trPr>
          <w:trHeight w:val="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164A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222" w14:textId="77777777" w:rsidR="004B091D" w:rsidRPr="00D665F5" w:rsidRDefault="004B091D" w:rsidP="004B091D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F62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B2D0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1BC" w14:textId="77777777" w:rsidR="004B091D" w:rsidRPr="00D665F5" w:rsidRDefault="004B091D" w:rsidP="004B091D">
            <w:pPr>
              <w:jc w:val="righ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665F5">
              <w:rPr>
                <w:rFonts w:asciiTheme="minorHAnsi" w:eastAsia="Times New Roman" w:hAnsiTheme="minorHAnsi"/>
                <w:sz w:val="18"/>
                <w:szCs w:val="18"/>
              </w:rPr>
              <w:t>910,169</w:t>
            </w:r>
          </w:p>
        </w:tc>
      </w:tr>
    </w:tbl>
    <w:p w14:paraId="57BD830B" w14:textId="77777777" w:rsidR="00B1230F" w:rsidRPr="00D665F5" w:rsidRDefault="00B1230F" w:rsidP="00B1230F">
      <w:pPr>
        <w:rPr>
          <w:rFonts w:asciiTheme="minorHAnsi" w:hAnsiTheme="minorHAnsi" w:cs="Trebuchet MS"/>
          <w:color w:val="1A1A1A"/>
          <w:sz w:val="28"/>
          <w:szCs w:val="28"/>
        </w:rPr>
      </w:pPr>
    </w:p>
    <w:p w14:paraId="1C591052" w14:textId="77777777" w:rsidR="00B1230F" w:rsidRPr="00D665F5" w:rsidRDefault="00B1230F" w:rsidP="00B1230F">
      <w:pPr>
        <w:rPr>
          <w:rFonts w:asciiTheme="minorHAnsi" w:hAnsiTheme="minorHAnsi"/>
          <w:sz w:val="18"/>
          <w:szCs w:val="18"/>
        </w:rPr>
      </w:pPr>
    </w:p>
    <w:p w14:paraId="1FD3CCAB" w14:textId="77777777" w:rsidR="00F47535" w:rsidRPr="004B091D" w:rsidRDefault="00F47535" w:rsidP="00B1230F">
      <w:pPr>
        <w:rPr>
          <w:sz w:val="18"/>
          <w:szCs w:val="18"/>
        </w:rPr>
      </w:pPr>
    </w:p>
    <w:sectPr w:rsidR="00F47535" w:rsidRPr="004B091D" w:rsidSect="00F47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1FA85" w14:textId="77777777" w:rsidR="00B73960" w:rsidRDefault="00B73960" w:rsidP="004A3A4B">
      <w:r>
        <w:separator/>
      </w:r>
    </w:p>
  </w:endnote>
  <w:endnote w:type="continuationSeparator" w:id="0">
    <w:p w14:paraId="79CF6813" w14:textId="77777777" w:rsidR="00B73960" w:rsidRDefault="00B73960" w:rsidP="004A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69C3" w14:textId="77777777" w:rsidR="00E5695B" w:rsidRDefault="00E56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4774" w14:textId="77777777" w:rsidR="008F6F70" w:rsidRDefault="00F47535" w:rsidP="00F47535">
    <w:pPr>
      <w:pStyle w:val="Footer"/>
      <w:pBdr>
        <w:top w:val="single" w:sz="4" w:space="1" w:color="auto"/>
      </w:pBdr>
      <w:tabs>
        <w:tab w:val="left" w:pos="90"/>
      </w:tabs>
      <w:jc w:val="center"/>
    </w:pPr>
    <w:r w:rsidRPr="003E3204">
      <w:rPr>
        <w:rFonts w:ascii="Calibri" w:hAnsi="Calibri"/>
        <w:color w:val="000000"/>
        <w:sz w:val="18"/>
        <w:szCs w:val="18"/>
      </w:rPr>
      <w:t>401 East State Street, Suite 402B</w:t>
    </w:r>
    <w:r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, </w:t>
    </w:r>
    <w:r w:rsidRPr="003E3204">
      <w:rPr>
        <w:rFonts w:ascii="Calibri" w:hAnsi="Calibri"/>
        <w:color w:val="000000"/>
        <w:sz w:val="18"/>
        <w:szCs w:val="18"/>
      </w:rPr>
      <w:t>Ithaca, NY 14850</w:t>
    </w:r>
    <w:r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Pr="003E3204">
      <w:rPr>
        <w:rFonts w:ascii="Calibri" w:hAnsi="Calibri"/>
        <w:color w:val="000000"/>
        <w:sz w:val="18"/>
        <w:szCs w:val="18"/>
      </w:rPr>
      <w:t xml:space="preserve"> phone: 607.273.0005</w:t>
    </w:r>
    <w:r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Pr="003E3204">
      <w:rPr>
        <w:rFonts w:ascii="Calibri" w:hAnsi="Calibri"/>
        <w:color w:val="000000"/>
        <w:sz w:val="18"/>
        <w:szCs w:val="18"/>
      </w:rPr>
      <w:t xml:space="preserve"> fax: 607.273.8964</w:t>
    </w:r>
    <w:r w:rsidRPr="003E3204">
      <w:rPr>
        <w:rFonts w:ascii="Calibri" w:hAnsi="Calibri"/>
        <w:color w:val="000000"/>
        <w:spacing w:val="-4"/>
        <w:w w:val="80"/>
        <w:sz w:val="18"/>
        <w:szCs w:val="18"/>
      </w:rPr>
      <w:t xml:space="preserve"> </w:t>
    </w:r>
    <w:r w:rsidRPr="003E3204">
      <w:rPr>
        <w:rFonts w:ascii="Webdings" w:hAnsi="Webdings" w:cs="Webdings"/>
        <w:color w:val="000000"/>
        <w:spacing w:val="-4"/>
        <w:w w:val="80"/>
        <w:sz w:val="18"/>
        <w:szCs w:val="18"/>
      </w:rPr>
      <w:t></w:t>
    </w:r>
    <w:r w:rsidRPr="003E3204">
      <w:rPr>
        <w:rFonts w:ascii="Calibri" w:hAnsi="Calibri"/>
        <w:color w:val="000000"/>
        <w:sz w:val="18"/>
        <w:szCs w:val="18"/>
      </w:rPr>
      <w:t xml:space="preserve"> </w:t>
    </w:r>
    <w:r w:rsidRPr="003E3204">
      <w:rPr>
        <w:rFonts w:ascii="Calibri" w:hAnsi="Calibri"/>
        <w:bCs/>
        <w:color w:val="000000"/>
        <w:sz w:val="18"/>
        <w:szCs w:val="18"/>
      </w:rPr>
      <w:t>www.TompkinsIDA.org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9067F" w14:textId="77777777" w:rsidR="008F6F70" w:rsidRPr="00E5695B" w:rsidRDefault="00E5695B" w:rsidP="00E5695B">
    <w:pPr>
      <w:pStyle w:val="Footer"/>
      <w:pBdr>
        <w:top w:val="single" w:sz="2" w:space="1" w:color="auto"/>
      </w:pBdr>
      <w:jc w:val="cent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color w:val="000000"/>
        <w:sz w:val="20"/>
      </w:rPr>
      <w:t>119 East Seneca Street</w:t>
    </w:r>
    <w:r w:rsidRPr="00951FB1">
      <w:rPr>
        <w:rFonts w:asciiTheme="majorHAnsi" w:hAnsiTheme="majorHAnsi" w:cstheme="majorHAnsi"/>
        <w:color w:val="000000"/>
        <w:sz w:val="20"/>
      </w:rPr>
      <w:t xml:space="preserve">, Suite </w:t>
    </w:r>
    <w:r>
      <w:rPr>
        <w:rFonts w:asciiTheme="majorHAnsi" w:hAnsiTheme="majorHAnsi" w:cstheme="majorHAnsi"/>
        <w:color w:val="000000"/>
        <w:sz w:val="20"/>
      </w:rPr>
      <w:t>200</w:t>
    </w:r>
    <w:r w:rsidRPr="00951FB1">
      <w:rPr>
        <w:rFonts w:asciiTheme="majorHAnsi" w:hAnsiTheme="majorHAnsi" w:cstheme="majorHAnsi"/>
        <w:color w:val="000000"/>
        <w:sz w:val="20"/>
      </w:rPr>
      <w:t>, Ithaca, New York 14850 • phone: (607) 273-0005 • www.tompkinsIDA.org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55710" w14:textId="77777777" w:rsidR="00B73960" w:rsidRDefault="00B73960" w:rsidP="004A3A4B">
      <w:r>
        <w:separator/>
      </w:r>
    </w:p>
  </w:footnote>
  <w:footnote w:type="continuationSeparator" w:id="0">
    <w:p w14:paraId="63E334DF" w14:textId="77777777" w:rsidR="00B73960" w:rsidRDefault="00B73960" w:rsidP="004A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4E11" w14:textId="77777777" w:rsidR="00E5695B" w:rsidRDefault="00E56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3BB9" w14:textId="77777777" w:rsidR="00E5695B" w:rsidRDefault="00E569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8C7D" w14:textId="77777777" w:rsidR="008F6F70" w:rsidRPr="003E3204" w:rsidRDefault="008F6F70" w:rsidP="008F6F70">
    <w:pPr>
      <w:spacing w:line="400" w:lineRule="exact"/>
      <w:ind w:right="-29"/>
      <w:rPr>
        <w:rFonts w:ascii="Calibri" w:hAnsi="Calibri"/>
        <w:color w:val="595959"/>
        <w:sz w:val="36"/>
        <w:szCs w:val="36"/>
      </w:rPr>
    </w:pPr>
    <w:r w:rsidRPr="003E3204">
      <w:rPr>
        <w:rFonts w:ascii="Calibri" w:hAnsi="Calibri"/>
        <w:color w:val="595959"/>
        <w:sz w:val="36"/>
        <w:szCs w:val="36"/>
      </w:rPr>
      <w:t xml:space="preserve">Tompkins County </w:t>
    </w:r>
  </w:p>
  <w:p w14:paraId="75487ECF" w14:textId="77777777" w:rsidR="008F6F70" w:rsidRPr="003E3204" w:rsidRDefault="008F6F70" w:rsidP="008F6F70">
    <w:pPr>
      <w:pBdr>
        <w:bottom w:val="single" w:sz="4" w:space="3" w:color="auto"/>
      </w:pBdr>
      <w:spacing w:line="320" w:lineRule="exact"/>
      <w:ind w:right="-29"/>
      <w:rPr>
        <w:rFonts w:ascii="Calibri" w:hAnsi="Calibri"/>
        <w:color w:val="595959"/>
        <w:sz w:val="36"/>
        <w:szCs w:val="36"/>
      </w:rPr>
    </w:pPr>
    <w:r w:rsidRPr="003E3204">
      <w:rPr>
        <w:rFonts w:ascii="Calibri" w:hAnsi="Calibri"/>
        <w:color w:val="595959"/>
        <w:sz w:val="36"/>
        <w:szCs w:val="36"/>
      </w:rPr>
      <w:t>Industrial Development Agency</w:t>
    </w:r>
  </w:p>
  <w:p w14:paraId="7935BE83" w14:textId="77777777" w:rsidR="008F6F70" w:rsidRPr="003E3204" w:rsidRDefault="008F6F70" w:rsidP="008F6F70">
    <w:pPr>
      <w:ind w:right="-22"/>
      <w:rPr>
        <w:rFonts w:ascii="Calibri" w:hAnsi="Calibri"/>
        <w:color w:val="595959"/>
        <w:sz w:val="44"/>
        <w:szCs w:val="44"/>
      </w:rPr>
    </w:pPr>
    <w:r w:rsidRPr="003E3204">
      <w:rPr>
        <w:rFonts w:ascii="Calibri" w:hAnsi="Calibri"/>
        <w:i/>
        <w:iCs/>
        <w:color w:val="595959"/>
        <w:sz w:val="20"/>
        <w:szCs w:val="20"/>
      </w:rPr>
      <w:t>Administration provided by Ithaca Area Economic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261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F5"/>
    <w:rsid w:val="000009CC"/>
    <w:rsid w:val="0000302B"/>
    <w:rsid w:val="000042FA"/>
    <w:rsid w:val="00050B99"/>
    <w:rsid w:val="000A1FFF"/>
    <w:rsid w:val="000D45EB"/>
    <w:rsid w:val="00102400"/>
    <w:rsid w:val="00114D76"/>
    <w:rsid w:val="001417AA"/>
    <w:rsid w:val="00156ABF"/>
    <w:rsid w:val="001677AE"/>
    <w:rsid w:val="00176E40"/>
    <w:rsid w:val="001956F0"/>
    <w:rsid w:val="001B0E69"/>
    <w:rsid w:val="002151C1"/>
    <w:rsid w:val="00260EA7"/>
    <w:rsid w:val="00283532"/>
    <w:rsid w:val="002C1301"/>
    <w:rsid w:val="002E10FC"/>
    <w:rsid w:val="00367235"/>
    <w:rsid w:val="003778DF"/>
    <w:rsid w:val="003B65C2"/>
    <w:rsid w:val="003E3204"/>
    <w:rsid w:val="004A3A4B"/>
    <w:rsid w:val="004B091D"/>
    <w:rsid w:val="00503122"/>
    <w:rsid w:val="005406E9"/>
    <w:rsid w:val="005F16D6"/>
    <w:rsid w:val="005F44E1"/>
    <w:rsid w:val="00616161"/>
    <w:rsid w:val="006307D9"/>
    <w:rsid w:val="0066571F"/>
    <w:rsid w:val="00683772"/>
    <w:rsid w:val="0070291E"/>
    <w:rsid w:val="00702D84"/>
    <w:rsid w:val="00703702"/>
    <w:rsid w:val="0071263A"/>
    <w:rsid w:val="007A101E"/>
    <w:rsid w:val="007A5CFE"/>
    <w:rsid w:val="007B7404"/>
    <w:rsid w:val="007C6F15"/>
    <w:rsid w:val="007E23D8"/>
    <w:rsid w:val="007E3FEB"/>
    <w:rsid w:val="00806881"/>
    <w:rsid w:val="00821CD0"/>
    <w:rsid w:val="00822802"/>
    <w:rsid w:val="008409C8"/>
    <w:rsid w:val="008606B3"/>
    <w:rsid w:val="008F6F70"/>
    <w:rsid w:val="00903F1C"/>
    <w:rsid w:val="00924449"/>
    <w:rsid w:val="00984629"/>
    <w:rsid w:val="00A60399"/>
    <w:rsid w:val="00AD4378"/>
    <w:rsid w:val="00B1230F"/>
    <w:rsid w:val="00B734DF"/>
    <w:rsid w:val="00B73960"/>
    <w:rsid w:val="00B75C39"/>
    <w:rsid w:val="00B82956"/>
    <w:rsid w:val="00BC1F0F"/>
    <w:rsid w:val="00BD7AC0"/>
    <w:rsid w:val="00BE6208"/>
    <w:rsid w:val="00BE7B0D"/>
    <w:rsid w:val="00C45C16"/>
    <w:rsid w:val="00C76843"/>
    <w:rsid w:val="00D36207"/>
    <w:rsid w:val="00D5453D"/>
    <w:rsid w:val="00D665F5"/>
    <w:rsid w:val="00D82AE7"/>
    <w:rsid w:val="00D84F31"/>
    <w:rsid w:val="00DF38F1"/>
    <w:rsid w:val="00E05B62"/>
    <w:rsid w:val="00E22C12"/>
    <w:rsid w:val="00E5695B"/>
    <w:rsid w:val="00E661F9"/>
    <w:rsid w:val="00E74FB5"/>
    <w:rsid w:val="00F002E4"/>
    <w:rsid w:val="00F23402"/>
    <w:rsid w:val="00F47535"/>
    <w:rsid w:val="00FA3BD6"/>
    <w:rsid w:val="00FA73A2"/>
    <w:rsid w:val="00FE7028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F374F6"/>
  <w14:defaultImageDpi w14:val="300"/>
  <w15:docId w15:val="{97B283D4-F874-0A4A-85DC-ADCBC9D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A4B"/>
  </w:style>
  <w:style w:type="paragraph" w:styleId="Footer">
    <w:name w:val="footer"/>
    <w:basedOn w:val="Normal"/>
    <w:link w:val="FooterChar"/>
    <w:uiPriority w:val="99"/>
    <w:unhideWhenUsed/>
    <w:rsid w:val="004A3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A4B"/>
  </w:style>
  <w:style w:type="table" w:styleId="TableGrid">
    <w:name w:val="Table Grid"/>
    <w:basedOn w:val="TableNormal"/>
    <w:uiPriority w:val="59"/>
    <w:rsid w:val="00B1230F"/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0F"/>
    <w:pP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/Dropbox/IAED/Programs/TCIDA/Projects/Asteri%20Parking%20LLC%20cinemapolis/application/Cinemapolis%20community%20benef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602CC-4D6A-6F47-88C1-3E0557C7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Cinemapolis community benefits.dotx</Template>
  <TotalTime>56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TCAD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Kellea Bauda</dc:creator>
  <cp:keywords/>
  <dc:description/>
  <cp:lastModifiedBy>Heather McDaniel</cp:lastModifiedBy>
  <cp:revision>2</cp:revision>
  <cp:lastPrinted>2020-11-04T15:35:00Z</cp:lastPrinted>
  <dcterms:created xsi:type="dcterms:W3CDTF">2024-12-27T17:20:00Z</dcterms:created>
  <dcterms:modified xsi:type="dcterms:W3CDTF">2024-12-27T19:11:00Z</dcterms:modified>
</cp:coreProperties>
</file>